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FCC05" w14:textId="77777777" w:rsidR="007959FE" w:rsidRPr="005D1660" w:rsidRDefault="001A1015" w:rsidP="005D1660">
      <w:pPr>
        <w:widowControl w:val="0"/>
        <w:autoSpaceDE w:val="0"/>
        <w:autoSpaceDN w:val="0"/>
        <w:adjustRightInd w:val="0"/>
        <w:spacing w:after="0" w:line="240" w:lineRule="auto"/>
        <w:ind w:left="-567"/>
        <w:rPr>
          <w:rFonts w:ascii="Times New Roman" w:eastAsia="Times New Roman" w:hAnsi="Times New Roman" w:cs="Times New Roman"/>
          <w:b/>
          <w:bCs/>
          <w:sz w:val="24"/>
          <w:szCs w:val="24"/>
          <w:lang w:eastAsia="fr-FR"/>
        </w:rPr>
      </w:pPr>
      <w:r>
        <w:rPr>
          <w:rFonts w:ascii="Arial" w:eastAsia="Times New Roman" w:hAnsi="Arial" w:cs="Arial"/>
          <w:noProof/>
          <w:sz w:val="20"/>
          <w:szCs w:val="20"/>
          <w:lang w:eastAsia="fr-FR"/>
        </w:rPr>
        <w:drawing>
          <wp:inline distT="0" distB="0" distL="0" distR="0" wp14:anchorId="46D6E379" wp14:editId="3CE16679">
            <wp:extent cx="1148486" cy="100282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820" cy="1006609"/>
                    </a:xfrm>
                    <a:prstGeom prst="rect">
                      <a:avLst/>
                    </a:prstGeom>
                    <a:noFill/>
                    <a:ln>
                      <a:noFill/>
                    </a:ln>
                  </pic:spPr>
                </pic:pic>
              </a:graphicData>
            </a:graphic>
          </wp:inline>
        </w:drawing>
      </w:r>
    </w:p>
    <w:p w14:paraId="6930502F" w14:textId="185571E0" w:rsidR="005D0CB1" w:rsidRDefault="005D0CB1" w:rsidP="005D0CB1">
      <w:pPr>
        <w:widowControl w:val="0"/>
        <w:autoSpaceDE w:val="0"/>
        <w:autoSpaceDN w:val="0"/>
        <w:adjustRightInd w:val="0"/>
        <w:spacing w:after="0" w:line="240" w:lineRule="auto"/>
        <w:jc w:val="center"/>
        <w:rPr>
          <w:rFonts w:eastAsia="Times New Roman" w:cstheme="minorHAnsi"/>
          <w:b/>
          <w:bCs/>
          <w:caps/>
          <w:lang w:eastAsia="fr-FR"/>
        </w:rPr>
      </w:pPr>
      <w:r>
        <w:rPr>
          <w:rFonts w:eastAsia="Times New Roman" w:cstheme="minorHAnsi"/>
          <w:b/>
          <w:bCs/>
          <w:caps/>
          <w:lang w:eastAsia="fr-FR"/>
        </w:rPr>
        <w:t>COMMISSION COMMERCIALISATION</w:t>
      </w:r>
    </w:p>
    <w:p w14:paraId="221BAB3F" w14:textId="64F72ACC" w:rsidR="005D0CB1" w:rsidRDefault="005D0CB1" w:rsidP="005D0CB1">
      <w:pPr>
        <w:widowControl w:val="0"/>
        <w:autoSpaceDE w:val="0"/>
        <w:autoSpaceDN w:val="0"/>
        <w:adjustRightInd w:val="0"/>
        <w:spacing w:after="0" w:line="240" w:lineRule="auto"/>
        <w:jc w:val="center"/>
        <w:rPr>
          <w:rFonts w:eastAsia="Times New Roman" w:cstheme="minorHAnsi"/>
          <w:b/>
          <w:bCs/>
          <w:lang w:eastAsia="fr-FR"/>
        </w:rPr>
      </w:pPr>
      <w:r>
        <w:rPr>
          <w:rFonts w:eastAsia="Times New Roman" w:cstheme="minorHAnsi"/>
          <w:b/>
          <w:bCs/>
          <w:lang w:eastAsia="fr-FR"/>
        </w:rPr>
        <w:t xml:space="preserve">Réunion du </w:t>
      </w:r>
      <w:r w:rsidR="00036CC0">
        <w:rPr>
          <w:rFonts w:eastAsia="Times New Roman" w:cstheme="minorHAnsi"/>
          <w:b/>
          <w:bCs/>
          <w:lang w:eastAsia="fr-FR"/>
        </w:rPr>
        <w:t>mercredi 10 février 2021</w:t>
      </w:r>
      <w:r w:rsidRPr="00F93225">
        <w:rPr>
          <w:rFonts w:eastAsia="Times New Roman" w:cstheme="minorHAnsi"/>
          <w:b/>
          <w:bCs/>
          <w:lang w:eastAsia="fr-FR"/>
        </w:rPr>
        <w:t xml:space="preserve"> </w:t>
      </w:r>
    </w:p>
    <w:p w14:paraId="5906B23F" w14:textId="77777777" w:rsidR="005D0CB1" w:rsidRDefault="005D0CB1" w:rsidP="005D0CB1">
      <w:pPr>
        <w:widowControl w:val="0"/>
        <w:autoSpaceDE w:val="0"/>
        <w:autoSpaceDN w:val="0"/>
        <w:adjustRightInd w:val="0"/>
        <w:spacing w:after="0" w:line="240" w:lineRule="auto"/>
        <w:jc w:val="center"/>
        <w:rPr>
          <w:rFonts w:eastAsia="Times New Roman" w:cstheme="minorHAnsi"/>
          <w:b/>
          <w:bCs/>
          <w:lang w:eastAsia="fr-FR"/>
        </w:rPr>
      </w:pPr>
    </w:p>
    <w:p w14:paraId="70F0F553" w14:textId="74E1FD5D" w:rsidR="005D0CB1" w:rsidRDefault="00036CC0" w:rsidP="005D0CB1">
      <w:pPr>
        <w:widowControl w:val="0"/>
        <w:autoSpaceDE w:val="0"/>
        <w:autoSpaceDN w:val="0"/>
        <w:adjustRightInd w:val="0"/>
        <w:spacing w:after="0" w:line="240" w:lineRule="auto"/>
        <w:jc w:val="center"/>
        <w:rPr>
          <w:rFonts w:eastAsia="Times New Roman" w:cstheme="minorHAnsi"/>
          <w:b/>
          <w:bCs/>
          <w:lang w:eastAsia="fr-FR"/>
        </w:rPr>
      </w:pPr>
      <w:r>
        <w:rPr>
          <w:rFonts w:eastAsia="Times New Roman" w:cstheme="minorHAnsi"/>
          <w:b/>
          <w:bCs/>
          <w:lang w:eastAsia="fr-FR"/>
        </w:rPr>
        <w:t>9</w:t>
      </w:r>
      <w:r w:rsidR="00EE0086">
        <w:rPr>
          <w:rFonts w:eastAsia="Times New Roman" w:cstheme="minorHAnsi"/>
          <w:b/>
          <w:bCs/>
          <w:lang w:eastAsia="fr-FR"/>
        </w:rPr>
        <w:t>H</w:t>
      </w:r>
      <w:r>
        <w:rPr>
          <w:rFonts w:eastAsia="Times New Roman" w:cstheme="minorHAnsi"/>
          <w:b/>
          <w:bCs/>
          <w:lang w:eastAsia="fr-FR"/>
        </w:rPr>
        <w:t>30</w:t>
      </w:r>
      <w:r w:rsidR="005D0CB1">
        <w:rPr>
          <w:rFonts w:eastAsia="Times New Roman" w:cstheme="minorHAnsi"/>
          <w:b/>
          <w:bCs/>
          <w:lang w:eastAsia="fr-FR"/>
        </w:rPr>
        <w:t xml:space="preserve"> à 1</w:t>
      </w:r>
      <w:r>
        <w:rPr>
          <w:rFonts w:eastAsia="Times New Roman" w:cstheme="minorHAnsi"/>
          <w:b/>
          <w:bCs/>
          <w:lang w:eastAsia="fr-FR"/>
        </w:rPr>
        <w:t>1</w:t>
      </w:r>
      <w:r w:rsidR="005D0CB1">
        <w:rPr>
          <w:rFonts w:eastAsia="Times New Roman" w:cstheme="minorHAnsi"/>
          <w:b/>
          <w:bCs/>
          <w:lang w:eastAsia="fr-FR"/>
        </w:rPr>
        <w:t xml:space="preserve">H </w:t>
      </w:r>
    </w:p>
    <w:p w14:paraId="5EFFC19D" w14:textId="0A82F461" w:rsidR="005D0CB1" w:rsidRPr="005D0CB1" w:rsidRDefault="005D0CB1" w:rsidP="005D0CB1">
      <w:pPr>
        <w:widowControl w:val="0"/>
        <w:autoSpaceDE w:val="0"/>
        <w:autoSpaceDN w:val="0"/>
        <w:adjustRightInd w:val="0"/>
        <w:spacing w:after="0" w:line="240" w:lineRule="auto"/>
        <w:jc w:val="center"/>
        <w:rPr>
          <w:rFonts w:eastAsia="Times New Roman" w:cstheme="minorHAnsi"/>
          <w:b/>
          <w:bCs/>
          <w:i/>
          <w:iCs/>
          <w:lang w:eastAsia="fr-FR"/>
        </w:rPr>
      </w:pPr>
      <w:r w:rsidRPr="005D0CB1">
        <w:rPr>
          <w:rFonts w:eastAsia="Times New Roman" w:cstheme="minorHAnsi"/>
          <w:b/>
          <w:bCs/>
          <w:i/>
          <w:iCs/>
          <w:lang w:eastAsia="fr-FR"/>
        </w:rPr>
        <w:t>(Par Conf</w:t>
      </w:r>
      <w:r>
        <w:rPr>
          <w:rFonts w:eastAsia="Times New Roman" w:cstheme="minorHAnsi"/>
          <w:b/>
          <w:bCs/>
          <w:i/>
          <w:iCs/>
          <w:lang w:eastAsia="fr-FR"/>
        </w:rPr>
        <w:t xml:space="preserve"> call</w:t>
      </w:r>
      <w:r w:rsidRPr="005D0CB1">
        <w:rPr>
          <w:rFonts w:eastAsia="Times New Roman" w:cstheme="minorHAnsi"/>
          <w:b/>
          <w:bCs/>
          <w:i/>
          <w:iCs/>
          <w:lang w:eastAsia="fr-FR"/>
        </w:rPr>
        <w:t>/</w:t>
      </w:r>
      <w:r>
        <w:rPr>
          <w:rFonts w:eastAsia="Times New Roman" w:cstheme="minorHAnsi"/>
          <w:b/>
          <w:bCs/>
          <w:i/>
          <w:iCs/>
          <w:lang w:eastAsia="fr-FR"/>
        </w:rPr>
        <w:t>Visio -</w:t>
      </w:r>
      <w:r w:rsidRPr="005D0CB1">
        <w:rPr>
          <w:rFonts w:eastAsia="Times New Roman" w:cstheme="minorHAnsi"/>
          <w:b/>
          <w:bCs/>
          <w:i/>
          <w:iCs/>
          <w:lang w:eastAsia="fr-FR"/>
        </w:rPr>
        <w:t xml:space="preserve"> détails </w:t>
      </w:r>
      <w:r w:rsidR="009E7D79">
        <w:rPr>
          <w:rFonts w:eastAsia="Times New Roman" w:cstheme="minorHAnsi"/>
          <w:b/>
          <w:bCs/>
          <w:i/>
          <w:iCs/>
          <w:lang w:eastAsia="fr-FR"/>
        </w:rPr>
        <w:t>dans l’invitation Outlook</w:t>
      </w:r>
      <w:r w:rsidRPr="005D0CB1">
        <w:rPr>
          <w:rFonts w:eastAsia="Times New Roman" w:cstheme="minorHAnsi"/>
          <w:b/>
          <w:bCs/>
          <w:i/>
          <w:iCs/>
          <w:lang w:eastAsia="fr-FR"/>
        </w:rPr>
        <w:t>)</w:t>
      </w:r>
    </w:p>
    <w:p w14:paraId="3142C5D8" w14:textId="0437EBA1" w:rsidR="005D0CB1" w:rsidRDefault="005D0CB1" w:rsidP="005D0CB1">
      <w:pPr>
        <w:widowControl w:val="0"/>
        <w:autoSpaceDE w:val="0"/>
        <w:autoSpaceDN w:val="0"/>
        <w:adjustRightInd w:val="0"/>
        <w:spacing w:after="0" w:line="240" w:lineRule="auto"/>
        <w:jc w:val="center"/>
        <w:rPr>
          <w:rFonts w:eastAsia="Times New Roman" w:cstheme="minorHAnsi"/>
          <w:b/>
          <w:bCs/>
          <w:lang w:eastAsia="fr-FR"/>
        </w:rPr>
      </w:pPr>
    </w:p>
    <w:p w14:paraId="66AA0A92" w14:textId="77777777" w:rsidR="00FA0555" w:rsidRDefault="00FA0555" w:rsidP="00FA0555">
      <w:pPr>
        <w:widowControl w:val="0"/>
        <w:autoSpaceDE w:val="0"/>
        <w:autoSpaceDN w:val="0"/>
        <w:adjustRightInd w:val="0"/>
        <w:spacing w:after="0" w:line="240" w:lineRule="auto"/>
        <w:rPr>
          <w:rFonts w:eastAsia="Times New Roman" w:cstheme="minorHAnsi"/>
          <w:b/>
          <w:bCs/>
          <w:lang w:eastAsia="fr-FR"/>
        </w:rPr>
      </w:pPr>
    </w:p>
    <w:p w14:paraId="70426896" w14:textId="1D1CE8E4" w:rsidR="00067EA6" w:rsidRPr="001E72B1" w:rsidRDefault="005D0CB1" w:rsidP="001E72B1">
      <w:pPr>
        <w:jc w:val="center"/>
        <w:rPr>
          <w:b/>
          <w:bCs/>
          <w:u w:val="single"/>
          <w:lang w:eastAsia="fr-FR"/>
        </w:rPr>
      </w:pPr>
      <w:bookmarkStart w:id="0" w:name="_Hlk40889467"/>
      <w:r w:rsidRPr="005D0CB1">
        <w:rPr>
          <w:b/>
          <w:bCs/>
          <w:u w:val="single"/>
          <w:lang w:eastAsia="fr-FR"/>
        </w:rPr>
        <w:t>Ordre du Jour</w:t>
      </w:r>
    </w:p>
    <w:p w14:paraId="615D7DB0" w14:textId="1CC1CBBA" w:rsidR="005B69AF" w:rsidRDefault="005B69AF" w:rsidP="005B69AF">
      <w:pPr>
        <w:pStyle w:val="Paragraphedeliste"/>
        <w:spacing w:after="0" w:line="240" w:lineRule="auto"/>
        <w:ind w:left="1080"/>
        <w:rPr>
          <w:rFonts w:eastAsia="Times New Roman"/>
          <w:b/>
          <w:bCs/>
        </w:rPr>
      </w:pPr>
    </w:p>
    <w:p w14:paraId="03C07C6C" w14:textId="586F8991" w:rsidR="001B3DCA" w:rsidRPr="007D612B" w:rsidRDefault="001B3DCA" w:rsidP="00CD601A">
      <w:pPr>
        <w:ind w:left="372" w:firstLine="708"/>
        <w:jc w:val="both"/>
        <w:rPr>
          <w:rFonts w:eastAsia="Times New Roman"/>
          <w:b/>
          <w:bCs/>
        </w:rPr>
      </w:pPr>
    </w:p>
    <w:p w14:paraId="266F68D6" w14:textId="77777777" w:rsidR="00036CC0" w:rsidRPr="00036CC0" w:rsidRDefault="00036CC0" w:rsidP="002E73C1">
      <w:pPr>
        <w:pStyle w:val="Paragraphedeliste"/>
        <w:numPr>
          <w:ilvl w:val="0"/>
          <w:numId w:val="35"/>
        </w:numPr>
        <w:rPr>
          <w:rFonts w:cstheme="minorHAnsi"/>
          <w:i/>
          <w:iCs/>
        </w:rPr>
      </w:pPr>
      <w:r>
        <w:rPr>
          <w:rFonts w:eastAsia="Times New Roman"/>
          <w:b/>
          <w:bCs/>
        </w:rPr>
        <w:t>Pour informations et échanges</w:t>
      </w:r>
    </w:p>
    <w:p w14:paraId="1905899C" w14:textId="1B159ED4" w:rsidR="009C221D" w:rsidRDefault="009C221D" w:rsidP="009C221D">
      <w:pPr>
        <w:pStyle w:val="Paragraphedeliste"/>
        <w:rPr>
          <w:rFonts w:eastAsia="Times New Roman"/>
          <w:b/>
          <w:bCs/>
        </w:rPr>
      </w:pPr>
    </w:p>
    <w:p w14:paraId="66DF18B3" w14:textId="42BE1203" w:rsidR="00CF020D" w:rsidRPr="00CF020D" w:rsidRDefault="00CF020D" w:rsidP="00CF020D">
      <w:pPr>
        <w:numPr>
          <w:ilvl w:val="0"/>
          <w:numId w:val="42"/>
        </w:numPr>
        <w:spacing w:after="160" w:line="252" w:lineRule="auto"/>
        <w:contextualSpacing/>
      </w:pPr>
      <w:r w:rsidRPr="00CF020D">
        <w:rPr>
          <w:b/>
          <w:bCs/>
          <w:i/>
          <w:iCs/>
        </w:rPr>
        <w:t>Point sur PRIIPS</w:t>
      </w:r>
      <w:r w:rsidRPr="00CF020D">
        <w:rPr>
          <w:b/>
          <w:bCs/>
        </w:rPr>
        <w:t xml:space="preserve"> : </w:t>
      </w:r>
      <w:r w:rsidRPr="00CF020D">
        <w:t xml:space="preserve">délais, textes applicables </w:t>
      </w:r>
      <w:r w:rsidR="00410315">
        <w:t xml:space="preserve"> </w:t>
      </w:r>
    </w:p>
    <w:p w14:paraId="17C36D69" w14:textId="77777777" w:rsidR="00CF020D" w:rsidRPr="00CF020D" w:rsidRDefault="00CF020D" w:rsidP="00CF020D">
      <w:pPr>
        <w:spacing w:after="160" w:line="252" w:lineRule="auto"/>
        <w:ind w:left="720"/>
        <w:contextualSpacing/>
        <w:rPr>
          <w:b/>
          <w:bCs/>
        </w:rPr>
      </w:pPr>
    </w:p>
    <w:p w14:paraId="3F491B94" w14:textId="7A67DD54" w:rsidR="00CF020D" w:rsidRPr="00CF020D" w:rsidRDefault="00CF020D" w:rsidP="00CF020D">
      <w:pPr>
        <w:numPr>
          <w:ilvl w:val="0"/>
          <w:numId w:val="42"/>
        </w:numPr>
        <w:spacing w:after="160" w:line="252" w:lineRule="auto"/>
        <w:contextualSpacing/>
        <w:jc w:val="both"/>
      </w:pPr>
      <w:r w:rsidRPr="00CF020D">
        <w:rPr>
          <w:b/>
          <w:bCs/>
          <w:i/>
          <w:iCs/>
        </w:rPr>
        <w:t>Point sur MIF II</w:t>
      </w:r>
      <w:r w:rsidRPr="00CF020D">
        <w:rPr>
          <w:b/>
          <w:bCs/>
        </w:rPr>
        <w:t xml:space="preserve"> : </w:t>
      </w:r>
      <w:r w:rsidRPr="00CF020D">
        <w:t xml:space="preserve">Résultat du Quick Fix. L’AFG fait également remonter ses propositions à l’AMF pour la future grande révision de la règlementation MIF II. Une étude sur MIF II </w:t>
      </w:r>
      <w:r>
        <w:t xml:space="preserve">sur le coût du conseil </w:t>
      </w:r>
      <w:r w:rsidRPr="00CF020D">
        <w:t>est en cours</w:t>
      </w:r>
    </w:p>
    <w:p w14:paraId="277AF0A0" w14:textId="326DFA26" w:rsidR="00036CC0" w:rsidRPr="001E72B1" w:rsidRDefault="00036CC0" w:rsidP="001E72B1">
      <w:pPr>
        <w:rPr>
          <w:rFonts w:eastAsia="Times New Roman"/>
          <w:b/>
          <w:bCs/>
        </w:rPr>
      </w:pPr>
    </w:p>
    <w:p w14:paraId="2B4C4F90" w14:textId="12A66F7F" w:rsidR="00CF020D" w:rsidRPr="001B3DCA" w:rsidRDefault="00CF020D" w:rsidP="00CF020D">
      <w:pPr>
        <w:numPr>
          <w:ilvl w:val="0"/>
          <w:numId w:val="44"/>
        </w:numPr>
        <w:spacing w:after="160" w:line="252" w:lineRule="auto"/>
        <w:contextualSpacing/>
        <w:rPr>
          <w:b/>
          <w:bCs/>
          <w:i/>
          <w:iCs/>
        </w:rPr>
      </w:pPr>
      <w:r w:rsidRPr="00CF020D">
        <w:rPr>
          <w:b/>
          <w:bCs/>
          <w:i/>
          <w:iCs/>
        </w:rPr>
        <w:t>Consultation sur la révision d’AIFMD : L’AFG a répondu à la consultation. Points principaux :</w:t>
      </w:r>
    </w:p>
    <w:p w14:paraId="16101150" w14:textId="77777777" w:rsidR="00CF020D" w:rsidRPr="00CF020D" w:rsidRDefault="00CF020D" w:rsidP="00CF020D">
      <w:pPr>
        <w:spacing w:after="160" w:line="252" w:lineRule="auto"/>
        <w:ind w:left="720"/>
        <w:contextualSpacing/>
        <w:rPr>
          <w:b/>
          <w:bCs/>
        </w:rPr>
      </w:pPr>
    </w:p>
    <w:p w14:paraId="299502CF" w14:textId="77777777" w:rsidR="00CF020D" w:rsidRPr="00CF020D" w:rsidRDefault="00CF020D" w:rsidP="00CF020D">
      <w:pPr>
        <w:spacing w:after="0" w:line="240" w:lineRule="auto"/>
        <w:ind w:firstLine="1276"/>
        <w:jc w:val="both"/>
        <w:rPr>
          <w:u w:val="single"/>
        </w:rPr>
      </w:pPr>
      <w:r w:rsidRPr="00CF020D">
        <w:rPr>
          <w:u w:val="single"/>
        </w:rPr>
        <w:t xml:space="preserve">      Coté commercialisation :</w:t>
      </w:r>
    </w:p>
    <w:p w14:paraId="54997B37" w14:textId="77777777" w:rsidR="00CF020D" w:rsidRPr="00CF020D" w:rsidRDefault="00CF020D" w:rsidP="00CF020D">
      <w:pPr>
        <w:numPr>
          <w:ilvl w:val="0"/>
          <w:numId w:val="43"/>
        </w:numPr>
        <w:spacing w:after="0" w:line="240" w:lineRule="auto"/>
        <w:ind w:firstLine="1276"/>
        <w:jc w:val="both"/>
        <w:rPr>
          <w:rFonts w:eastAsia="Times New Roman"/>
        </w:rPr>
      </w:pPr>
      <w:r w:rsidRPr="00CF020D">
        <w:rPr>
          <w:rFonts w:eastAsia="Times New Roman"/>
        </w:rPr>
        <w:t>Réaffirmer que la commercialisation n’est pas une délégation</w:t>
      </w:r>
    </w:p>
    <w:p w14:paraId="1F18D9C7" w14:textId="77777777" w:rsidR="00CF020D" w:rsidRPr="00CF020D" w:rsidRDefault="00CF020D" w:rsidP="00CF020D">
      <w:pPr>
        <w:numPr>
          <w:ilvl w:val="0"/>
          <w:numId w:val="43"/>
        </w:numPr>
        <w:spacing w:after="0" w:line="240" w:lineRule="auto"/>
        <w:ind w:firstLine="1276"/>
        <w:jc w:val="both"/>
        <w:rPr>
          <w:rFonts w:eastAsia="Times New Roman"/>
        </w:rPr>
      </w:pPr>
      <w:r w:rsidRPr="00CF020D">
        <w:rPr>
          <w:rFonts w:eastAsia="Times New Roman"/>
        </w:rPr>
        <w:t>S’assurer qu’aucune catégorie client ne soit créée en dehors de MIF</w:t>
      </w:r>
    </w:p>
    <w:p w14:paraId="1767773F" w14:textId="77777777" w:rsidR="00CF020D" w:rsidRPr="00CF020D" w:rsidRDefault="00CF020D" w:rsidP="00CF020D">
      <w:pPr>
        <w:numPr>
          <w:ilvl w:val="0"/>
          <w:numId w:val="43"/>
        </w:numPr>
        <w:spacing w:after="0" w:line="240" w:lineRule="auto"/>
        <w:ind w:firstLine="1276"/>
        <w:jc w:val="both"/>
        <w:rPr>
          <w:rFonts w:eastAsia="Times New Roman"/>
        </w:rPr>
      </w:pPr>
      <w:r w:rsidRPr="00CF020D">
        <w:rPr>
          <w:rFonts w:eastAsia="Times New Roman"/>
        </w:rPr>
        <w:t xml:space="preserve">Pas de passeport pour FIA </w:t>
      </w:r>
      <w:r w:rsidRPr="00CF020D">
        <w:rPr>
          <w:rFonts w:eastAsia="Times New Roman"/>
          <w:i/>
          <w:iCs/>
        </w:rPr>
        <w:t xml:space="preserve">retail </w:t>
      </w:r>
    </w:p>
    <w:p w14:paraId="77565817" w14:textId="77777777" w:rsidR="00CF020D" w:rsidRPr="00CF020D" w:rsidRDefault="00CF020D" w:rsidP="00CF020D">
      <w:pPr>
        <w:numPr>
          <w:ilvl w:val="0"/>
          <w:numId w:val="43"/>
        </w:numPr>
        <w:spacing w:after="0" w:line="240" w:lineRule="auto"/>
        <w:ind w:firstLine="1276"/>
        <w:jc w:val="both"/>
        <w:rPr>
          <w:rFonts w:eastAsia="Times New Roman"/>
        </w:rPr>
      </w:pPr>
      <w:r w:rsidRPr="00CF020D">
        <w:rPr>
          <w:rFonts w:eastAsia="Times New Roman"/>
        </w:rPr>
        <w:t xml:space="preserve">Inscription d’office des </w:t>
      </w:r>
      <w:proofErr w:type="spellStart"/>
      <w:r w:rsidRPr="00CF020D">
        <w:rPr>
          <w:rFonts w:eastAsia="Times New Roman"/>
          <w:i/>
          <w:iCs/>
        </w:rPr>
        <w:t>gates</w:t>
      </w:r>
      <w:proofErr w:type="spellEnd"/>
      <w:r w:rsidRPr="00CF020D">
        <w:rPr>
          <w:rFonts w:eastAsia="Times New Roman"/>
          <w:i/>
          <w:iCs/>
        </w:rPr>
        <w:t xml:space="preserve"> </w:t>
      </w:r>
      <w:r w:rsidRPr="00CF020D">
        <w:rPr>
          <w:rFonts w:eastAsia="Times New Roman"/>
        </w:rPr>
        <w:t>dans le prospectus</w:t>
      </w:r>
    </w:p>
    <w:p w14:paraId="467E7100" w14:textId="77777777" w:rsidR="00CF020D" w:rsidRPr="00CF020D" w:rsidRDefault="00CF020D" w:rsidP="00CF020D">
      <w:pPr>
        <w:spacing w:after="0" w:line="240" w:lineRule="auto"/>
        <w:ind w:left="1068" w:firstLine="1276"/>
        <w:jc w:val="both"/>
        <w:rPr>
          <w:rFonts w:eastAsia="Times New Roman"/>
        </w:rPr>
      </w:pPr>
    </w:p>
    <w:p w14:paraId="7BC1F692" w14:textId="77777777" w:rsidR="00CF020D" w:rsidRPr="00CF020D" w:rsidRDefault="00CF020D" w:rsidP="00CF020D">
      <w:pPr>
        <w:spacing w:after="0" w:line="240" w:lineRule="auto"/>
        <w:ind w:left="360" w:firstLine="1276"/>
        <w:jc w:val="both"/>
        <w:rPr>
          <w:u w:val="single"/>
        </w:rPr>
      </w:pPr>
      <w:r w:rsidRPr="00CF020D">
        <w:rPr>
          <w:u w:val="single"/>
        </w:rPr>
        <w:t xml:space="preserve">   Hors commercialisation :</w:t>
      </w:r>
    </w:p>
    <w:p w14:paraId="5B1D3C9E" w14:textId="77777777" w:rsidR="00CF020D" w:rsidRPr="00CF020D" w:rsidRDefault="00CF020D" w:rsidP="00CF020D">
      <w:pPr>
        <w:numPr>
          <w:ilvl w:val="0"/>
          <w:numId w:val="43"/>
        </w:numPr>
        <w:spacing w:after="0" w:line="240" w:lineRule="auto"/>
        <w:ind w:left="993" w:firstLine="1275"/>
        <w:contextualSpacing/>
        <w:jc w:val="both"/>
        <w:rPr>
          <w:rFonts w:eastAsia="Times New Roman"/>
        </w:rPr>
      </w:pPr>
      <w:r w:rsidRPr="00CF020D">
        <w:rPr>
          <w:rFonts w:eastAsia="Times New Roman"/>
        </w:rPr>
        <w:t>Préserver les activités accessoires</w:t>
      </w:r>
    </w:p>
    <w:p w14:paraId="0BAB63BA" w14:textId="77777777" w:rsidR="00CF020D" w:rsidRPr="00CF020D" w:rsidRDefault="00CF020D" w:rsidP="00CF020D">
      <w:pPr>
        <w:numPr>
          <w:ilvl w:val="0"/>
          <w:numId w:val="43"/>
        </w:numPr>
        <w:spacing w:after="0" w:line="240" w:lineRule="auto"/>
        <w:ind w:firstLine="1200"/>
        <w:contextualSpacing/>
        <w:jc w:val="both"/>
        <w:rPr>
          <w:rFonts w:eastAsia="Times New Roman"/>
        </w:rPr>
      </w:pPr>
      <w:r w:rsidRPr="00CF020D">
        <w:rPr>
          <w:rFonts w:eastAsia="Times New Roman"/>
        </w:rPr>
        <w:t xml:space="preserve">Délégation intra-groupe et extra-groupe et hors / infra Europe ; limiter </w:t>
      </w:r>
      <w:r w:rsidRPr="00CF020D">
        <w:rPr>
          <w:rFonts w:eastAsia="Times New Roman"/>
        </w:rPr>
        <w:tab/>
      </w:r>
      <w:r w:rsidRPr="00CF020D">
        <w:rPr>
          <w:rFonts w:eastAsia="Times New Roman"/>
        </w:rPr>
        <w:tab/>
      </w:r>
      <w:r w:rsidRPr="00CF020D">
        <w:rPr>
          <w:rFonts w:eastAsia="Times New Roman"/>
        </w:rPr>
        <w:tab/>
      </w:r>
      <w:r w:rsidRPr="00CF020D">
        <w:rPr>
          <w:rFonts w:eastAsia="Times New Roman"/>
        </w:rPr>
        <w:tab/>
        <w:t>les volontés de l’AMF de resserrer les règles</w:t>
      </w:r>
    </w:p>
    <w:p w14:paraId="491D8061" w14:textId="77777777" w:rsidR="00CF020D" w:rsidRPr="00CF020D" w:rsidRDefault="00CF020D" w:rsidP="00CF020D">
      <w:pPr>
        <w:numPr>
          <w:ilvl w:val="0"/>
          <w:numId w:val="43"/>
        </w:numPr>
        <w:spacing w:after="0" w:line="240" w:lineRule="auto"/>
        <w:ind w:firstLine="1276"/>
        <w:jc w:val="both"/>
        <w:rPr>
          <w:rFonts w:eastAsia="Times New Roman"/>
        </w:rPr>
      </w:pPr>
      <w:r w:rsidRPr="00CF020D">
        <w:rPr>
          <w:rFonts w:eastAsia="Times New Roman"/>
        </w:rPr>
        <w:t>Application des règles AIFM aux délégataires (en gestion) hors UE</w:t>
      </w:r>
    </w:p>
    <w:p w14:paraId="0BD2F0B8" w14:textId="77777777" w:rsidR="00CF020D" w:rsidRPr="00CF020D" w:rsidRDefault="00CF020D" w:rsidP="00CF020D">
      <w:pPr>
        <w:numPr>
          <w:ilvl w:val="0"/>
          <w:numId w:val="43"/>
        </w:numPr>
        <w:spacing w:after="0" w:line="240" w:lineRule="auto"/>
        <w:ind w:firstLine="1276"/>
        <w:jc w:val="both"/>
        <w:rPr>
          <w:rFonts w:eastAsia="Times New Roman"/>
        </w:rPr>
      </w:pPr>
      <w:r w:rsidRPr="00CF020D">
        <w:rPr>
          <w:rFonts w:eastAsia="Times New Roman"/>
        </w:rPr>
        <w:t>Éviter de nouvelles règles sur le levier</w:t>
      </w:r>
    </w:p>
    <w:p w14:paraId="40225D58" w14:textId="0163D522" w:rsidR="00036CC0" w:rsidRDefault="00036CC0" w:rsidP="009C221D">
      <w:pPr>
        <w:pStyle w:val="Paragraphedeliste"/>
        <w:rPr>
          <w:rFonts w:eastAsia="Times New Roman"/>
          <w:b/>
          <w:bCs/>
        </w:rPr>
      </w:pPr>
    </w:p>
    <w:p w14:paraId="6DF43CDC" w14:textId="518A54B2" w:rsidR="00036CC0" w:rsidRDefault="00036CC0" w:rsidP="009C221D">
      <w:pPr>
        <w:pStyle w:val="Paragraphedeliste"/>
        <w:rPr>
          <w:b/>
          <w:bCs/>
          <w:i/>
          <w:iCs/>
        </w:rPr>
      </w:pPr>
    </w:p>
    <w:p w14:paraId="2A6CAC9A" w14:textId="6AFCC2F9" w:rsidR="00CF020D" w:rsidRPr="00036CC0" w:rsidRDefault="00CF020D" w:rsidP="00CF020D">
      <w:pPr>
        <w:pStyle w:val="Paragraphedeliste"/>
        <w:numPr>
          <w:ilvl w:val="0"/>
          <w:numId w:val="35"/>
        </w:numPr>
        <w:rPr>
          <w:rFonts w:cstheme="minorHAnsi"/>
          <w:i/>
          <w:iCs/>
        </w:rPr>
      </w:pPr>
      <w:r>
        <w:rPr>
          <w:rFonts w:eastAsia="Times New Roman"/>
          <w:b/>
          <w:bCs/>
        </w:rPr>
        <w:t>Présentation et échanges</w:t>
      </w:r>
    </w:p>
    <w:p w14:paraId="42E01AB0" w14:textId="77777777" w:rsidR="00CF020D" w:rsidRDefault="00CF020D" w:rsidP="009C221D">
      <w:pPr>
        <w:pStyle w:val="Paragraphedeliste"/>
        <w:rPr>
          <w:b/>
          <w:bCs/>
          <w:i/>
          <w:iCs/>
        </w:rPr>
      </w:pPr>
    </w:p>
    <w:p w14:paraId="10C6DD12" w14:textId="3EA54443" w:rsidR="00CF020D" w:rsidRDefault="00CF020D" w:rsidP="00CF020D">
      <w:pPr>
        <w:pStyle w:val="Paragraphedeliste"/>
        <w:numPr>
          <w:ilvl w:val="0"/>
          <w:numId w:val="45"/>
        </w:numPr>
        <w:rPr>
          <w:b/>
          <w:bCs/>
          <w:i/>
          <w:iCs/>
        </w:rPr>
      </w:pPr>
      <w:r>
        <w:rPr>
          <w:b/>
          <w:bCs/>
          <w:i/>
          <w:iCs/>
        </w:rPr>
        <w:t>Point d’actualité sur ESG (Alix FAURE, AFG)</w:t>
      </w:r>
    </w:p>
    <w:p w14:paraId="73211D9F" w14:textId="77777777" w:rsidR="00CF020D" w:rsidRDefault="00CF020D" w:rsidP="00CF020D">
      <w:pPr>
        <w:pStyle w:val="Paragraphedeliste"/>
        <w:ind w:left="1440"/>
        <w:rPr>
          <w:b/>
          <w:bCs/>
          <w:i/>
          <w:iCs/>
        </w:rPr>
      </w:pPr>
    </w:p>
    <w:p w14:paraId="16CB13AA" w14:textId="178023ED" w:rsidR="00CF020D" w:rsidRPr="00CF020D" w:rsidRDefault="00CF020D" w:rsidP="00CF020D">
      <w:pPr>
        <w:pStyle w:val="Paragraphedeliste"/>
        <w:numPr>
          <w:ilvl w:val="0"/>
          <w:numId w:val="45"/>
        </w:numPr>
        <w:rPr>
          <w:b/>
          <w:bCs/>
          <w:i/>
          <w:iCs/>
        </w:rPr>
      </w:pPr>
      <w:r>
        <w:rPr>
          <w:b/>
          <w:bCs/>
          <w:i/>
          <w:iCs/>
        </w:rPr>
        <w:t>Informations clients</w:t>
      </w:r>
    </w:p>
    <w:p w14:paraId="3BE68D64" w14:textId="77777777" w:rsidR="00CF020D" w:rsidRPr="00CF020D" w:rsidRDefault="00CF020D" w:rsidP="00CF020D">
      <w:pPr>
        <w:pStyle w:val="Paragraphedeliste"/>
        <w:ind w:left="1440"/>
        <w:rPr>
          <w:b/>
          <w:bCs/>
          <w:i/>
          <w:iCs/>
        </w:rPr>
      </w:pPr>
    </w:p>
    <w:p w14:paraId="4DB93C9F" w14:textId="7F8999CE" w:rsidR="00CF020D" w:rsidRDefault="00CF020D" w:rsidP="001B3DCA">
      <w:pPr>
        <w:pStyle w:val="Paragraphedeliste"/>
        <w:numPr>
          <w:ilvl w:val="0"/>
          <w:numId w:val="45"/>
        </w:numPr>
        <w:rPr>
          <w:b/>
          <w:bCs/>
          <w:i/>
          <w:iCs/>
        </w:rPr>
      </w:pPr>
      <w:r>
        <w:rPr>
          <w:b/>
          <w:bCs/>
          <w:i/>
          <w:iCs/>
        </w:rPr>
        <w:t>EMT V3</w:t>
      </w:r>
    </w:p>
    <w:p w14:paraId="5B02AD61" w14:textId="77777777" w:rsidR="001B3DCA" w:rsidRPr="001B3DCA" w:rsidRDefault="001B3DCA" w:rsidP="001B3DCA">
      <w:pPr>
        <w:pStyle w:val="Paragraphedeliste"/>
        <w:rPr>
          <w:b/>
          <w:bCs/>
          <w:i/>
          <w:iCs/>
        </w:rPr>
      </w:pPr>
    </w:p>
    <w:p w14:paraId="5CDE662D" w14:textId="77777777" w:rsidR="001B3DCA" w:rsidRPr="001B3DCA" w:rsidRDefault="001B3DCA" w:rsidP="001B3DCA">
      <w:pPr>
        <w:pStyle w:val="Paragraphedeliste"/>
        <w:ind w:left="1440"/>
        <w:rPr>
          <w:b/>
          <w:bCs/>
          <w:i/>
          <w:iCs/>
        </w:rPr>
      </w:pPr>
    </w:p>
    <w:p w14:paraId="75B5910B" w14:textId="77777777" w:rsidR="00CF020D" w:rsidRPr="00CF020D" w:rsidRDefault="00CF020D" w:rsidP="009C221D">
      <w:pPr>
        <w:pStyle w:val="Paragraphedeliste"/>
        <w:rPr>
          <w:b/>
          <w:bCs/>
        </w:rPr>
      </w:pPr>
    </w:p>
    <w:p w14:paraId="48E4C776" w14:textId="3E04B9EE" w:rsidR="009C221D" w:rsidRPr="00CF020D" w:rsidRDefault="00CF020D" w:rsidP="00CF020D">
      <w:pPr>
        <w:pStyle w:val="Paragraphedeliste"/>
        <w:numPr>
          <w:ilvl w:val="0"/>
          <w:numId w:val="35"/>
        </w:numPr>
        <w:rPr>
          <w:b/>
          <w:bCs/>
        </w:rPr>
      </w:pPr>
      <w:r w:rsidRPr="00CF020D">
        <w:rPr>
          <w:b/>
          <w:bCs/>
        </w:rPr>
        <w:lastRenderedPageBreak/>
        <w:t>Tour de table sur les relations avec les Plateformes B to B (</w:t>
      </w:r>
      <w:proofErr w:type="spellStart"/>
      <w:r w:rsidRPr="00CF020D">
        <w:rPr>
          <w:b/>
          <w:bCs/>
        </w:rPr>
        <w:t>Allfunds</w:t>
      </w:r>
      <w:proofErr w:type="spellEnd"/>
      <w:r w:rsidRPr="00CF020D">
        <w:rPr>
          <w:b/>
          <w:bCs/>
        </w:rPr>
        <w:t>, MFEX…)</w:t>
      </w:r>
    </w:p>
    <w:p w14:paraId="565DBACC" w14:textId="64D40E0E" w:rsidR="00CF020D" w:rsidRPr="00CF020D" w:rsidRDefault="00CF020D" w:rsidP="00CF020D">
      <w:pPr>
        <w:pStyle w:val="Paragraphedeliste"/>
        <w:ind w:left="1080"/>
        <w:rPr>
          <w:b/>
          <w:bCs/>
        </w:rPr>
      </w:pPr>
    </w:p>
    <w:p w14:paraId="362C2925" w14:textId="77777777" w:rsidR="00CF020D" w:rsidRPr="00CF020D" w:rsidRDefault="00CF020D" w:rsidP="00CF020D">
      <w:pPr>
        <w:pStyle w:val="Paragraphedeliste"/>
        <w:ind w:left="1080"/>
        <w:rPr>
          <w:b/>
          <w:bCs/>
        </w:rPr>
      </w:pPr>
    </w:p>
    <w:p w14:paraId="499513FF" w14:textId="7EE7B6F2" w:rsidR="00CF020D" w:rsidRPr="00CF020D" w:rsidRDefault="00CF020D" w:rsidP="00CF020D">
      <w:pPr>
        <w:pStyle w:val="Paragraphedeliste"/>
        <w:numPr>
          <w:ilvl w:val="0"/>
          <w:numId w:val="35"/>
        </w:numPr>
        <w:rPr>
          <w:b/>
          <w:bCs/>
        </w:rPr>
      </w:pPr>
      <w:r w:rsidRPr="00CF020D">
        <w:rPr>
          <w:b/>
          <w:bCs/>
        </w:rPr>
        <w:t>Pour information</w:t>
      </w:r>
    </w:p>
    <w:p w14:paraId="1A626E7B" w14:textId="77777777" w:rsidR="00CF020D" w:rsidRPr="00CF020D" w:rsidRDefault="00CF020D" w:rsidP="00CF020D">
      <w:pPr>
        <w:pStyle w:val="Paragraphedeliste"/>
        <w:ind w:left="1080"/>
        <w:rPr>
          <w:b/>
          <w:bCs/>
          <w:i/>
          <w:iCs/>
        </w:rPr>
      </w:pPr>
    </w:p>
    <w:p w14:paraId="1A8FE632" w14:textId="490C41E9" w:rsidR="009C221D" w:rsidRDefault="00CF020D" w:rsidP="00CF020D">
      <w:pPr>
        <w:pStyle w:val="Paragraphedeliste"/>
        <w:numPr>
          <w:ilvl w:val="0"/>
          <w:numId w:val="46"/>
        </w:numPr>
        <w:rPr>
          <w:b/>
          <w:bCs/>
          <w:i/>
          <w:iCs/>
        </w:rPr>
      </w:pPr>
      <w:r>
        <w:rPr>
          <w:b/>
          <w:bCs/>
          <w:i/>
          <w:iCs/>
        </w:rPr>
        <w:t>Demandes AFG sur ELTIF</w:t>
      </w:r>
    </w:p>
    <w:p w14:paraId="5DFD994C" w14:textId="77777777" w:rsidR="00CF020D" w:rsidRPr="00800BEF" w:rsidRDefault="00CF020D" w:rsidP="00CF020D">
      <w:pPr>
        <w:ind w:left="1701" w:firstLine="414"/>
        <w:jc w:val="both"/>
        <w:rPr>
          <w:u w:val="single"/>
        </w:rPr>
      </w:pPr>
      <w:r w:rsidRPr="00800BEF">
        <w:rPr>
          <w:u w:val="single"/>
        </w:rPr>
        <w:t>Structure Générale du Fonds</w:t>
      </w:r>
      <w:r>
        <w:rPr>
          <w:u w:val="single"/>
        </w:rPr>
        <w:t> </w:t>
      </w:r>
    </w:p>
    <w:p w14:paraId="64EEE494" w14:textId="755AEAD3" w:rsidR="00CF020D" w:rsidRPr="00593D28" w:rsidRDefault="00CF020D" w:rsidP="00CF020D">
      <w:pPr>
        <w:pStyle w:val="Paragraphedeliste"/>
        <w:numPr>
          <w:ilvl w:val="0"/>
          <w:numId w:val="47"/>
        </w:numPr>
        <w:spacing w:after="0" w:line="240" w:lineRule="auto"/>
        <w:ind w:left="1701" w:firstLine="414"/>
        <w:contextualSpacing w:val="0"/>
        <w:jc w:val="both"/>
        <w:rPr>
          <w:rFonts w:eastAsia="Times New Roman"/>
        </w:rPr>
      </w:pPr>
      <w:r w:rsidRPr="00800BEF">
        <w:rPr>
          <w:rFonts w:eastAsia="Times New Roman"/>
        </w:rPr>
        <w:t xml:space="preserve">L’ELTIF est actuellement un fonds fermé. Nous estimons que le « nouveau ELTIF » doit pouvoir être un fonds ouvert avec des possibilités de souscriptions/rachats en cours de vie (sans que cela ne soit obligatoire, le gérant d’ELTIF pouvant malgré tout choisir de rester sur une structure de fonds fermé). Ce schéma permettra non seulement d’offrir des possibilités de rachat, mais également d’avoir de nouvelles souscriptions, permettant d’augmenter la taille du fonds et les possibilités de diversification. Cette possibilité est essentielle, en vue d’attirer les investisseurs </w:t>
      </w:r>
      <w:r w:rsidRPr="00800BEF">
        <w:rPr>
          <w:rFonts w:eastAsia="Times New Roman"/>
          <w:i/>
          <w:iCs/>
        </w:rPr>
        <w:t>retail.</w:t>
      </w:r>
    </w:p>
    <w:p w14:paraId="3BEF84C2" w14:textId="77777777" w:rsidR="00593D28" w:rsidRPr="00800BEF" w:rsidRDefault="00593D28" w:rsidP="00593D28">
      <w:pPr>
        <w:pStyle w:val="Paragraphedeliste"/>
        <w:spacing w:after="0" w:line="240" w:lineRule="auto"/>
        <w:ind w:left="2115"/>
        <w:contextualSpacing w:val="0"/>
        <w:jc w:val="both"/>
        <w:rPr>
          <w:rFonts w:eastAsia="Times New Roman"/>
        </w:rPr>
      </w:pPr>
    </w:p>
    <w:p w14:paraId="3BC3F827" w14:textId="77777777" w:rsidR="00CF020D" w:rsidRPr="00800BEF" w:rsidRDefault="00CF020D" w:rsidP="00CF020D">
      <w:pPr>
        <w:spacing w:after="0" w:line="240" w:lineRule="auto"/>
        <w:ind w:left="1701" w:firstLine="414"/>
        <w:jc w:val="both"/>
        <w:rPr>
          <w:u w:val="single"/>
        </w:rPr>
      </w:pPr>
      <w:r w:rsidRPr="00800BEF">
        <w:rPr>
          <w:u w:val="single"/>
        </w:rPr>
        <w:t>Composition de l’actif</w:t>
      </w:r>
    </w:p>
    <w:p w14:paraId="6813C9B5" w14:textId="77777777" w:rsidR="00CF020D" w:rsidRPr="00800BEF" w:rsidRDefault="00CF020D" w:rsidP="00CF020D">
      <w:pPr>
        <w:pStyle w:val="Paragraphedeliste"/>
        <w:numPr>
          <w:ilvl w:val="0"/>
          <w:numId w:val="47"/>
        </w:numPr>
        <w:spacing w:after="0" w:line="240" w:lineRule="auto"/>
        <w:ind w:left="1701" w:firstLine="0"/>
        <w:contextualSpacing w:val="0"/>
        <w:jc w:val="both"/>
        <w:rPr>
          <w:rFonts w:eastAsia="Times New Roman"/>
        </w:rPr>
      </w:pPr>
      <w:r w:rsidRPr="00800BEF">
        <w:rPr>
          <w:rFonts w:eastAsia="Times New Roman"/>
        </w:rPr>
        <w:t>Actuellement, l’ELTIF doit détenir au moins 70% d’actifs de long terme. Ce seuil devrait être abaissé à 50%. Ce seuil restera un minimum, et le gérant pourra aller au-delà, mais devra dans tous les cas veiller à la cohérence entre :</w:t>
      </w:r>
    </w:p>
    <w:p w14:paraId="5A2E00EA" w14:textId="77777777" w:rsidR="00CF020D" w:rsidRPr="00800BEF" w:rsidRDefault="00CF020D" w:rsidP="00CF020D">
      <w:pPr>
        <w:pStyle w:val="Paragraphedeliste"/>
        <w:numPr>
          <w:ilvl w:val="1"/>
          <w:numId w:val="47"/>
        </w:numPr>
        <w:spacing w:after="0" w:line="240" w:lineRule="auto"/>
        <w:ind w:left="2127" w:hanging="12"/>
        <w:contextualSpacing w:val="0"/>
        <w:jc w:val="both"/>
        <w:rPr>
          <w:rFonts w:eastAsia="Times New Roman"/>
        </w:rPr>
      </w:pPr>
      <w:r w:rsidRPr="00800BEF">
        <w:rPr>
          <w:rFonts w:eastAsia="Times New Roman"/>
        </w:rPr>
        <w:t>La fréquence des possibilités de souscriptions/rachats ;</w:t>
      </w:r>
    </w:p>
    <w:p w14:paraId="31E5FAE2" w14:textId="77777777" w:rsidR="00CF020D" w:rsidRPr="00800BEF" w:rsidRDefault="00CF020D" w:rsidP="00CF020D">
      <w:pPr>
        <w:pStyle w:val="Paragraphedeliste"/>
        <w:numPr>
          <w:ilvl w:val="1"/>
          <w:numId w:val="47"/>
        </w:numPr>
        <w:spacing w:after="0" w:line="240" w:lineRule="auto"/>
        <w:ind w:left="2127" w:hanging="12"/>
        <w:contextualSpacing w:val="0"/>
        <w:jc w:val="both"/>
        <w:rPr>
          <w:rFonts w:eastAsia="Times New Roman"/>
        </w:rPr>
      </w:pPr>
      <w:r w:rsidRPr="00800BEF">
        <w:rPr>
          <w:rFonts w:eastAsia="Times New Roman"/>
        </w:rPr>
        <w:t>La composition de l’actif (notamment le % d’actifs de long terme moins liquides)</w:t>
      </w:r>
    </w:p>
    <w:p w14:paraId="5ED67CD4"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rPr>
        <w:t>Les outils de gestion de la liquidité à prévoir ;</w:t>
      </w:r>
    </w:p>
    <w:p w14:paraId="657FAADA"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rPr>
        <w:t>etc.</w:t>
      </w:r>
    </w:p>
    <w:p w14:paraId="6DCA653A" w14:textId="77777777" w:rsidR="00CF020D" w:rsidRPr="00800BEF" w:rsidRDefault="00CF020D" w:rsidP="00CF020D">
      <w:pPr>
        <w:pStyle w:val="Paragraphedeliste"/>
        <w:spacing w:after="0" w:line="240" w:lineRule="auto"/>
        <w:ind w:left="1701" w:firstLine="414"/>
        <w:contextualSpacing w:val="0"/>
        <w:jc w:val="both"/>
        <w:rPr>
          <w:rFonts w:eastAsia="Times New Roman"/>
        </w:rPr>
      </w:pPr>
    </w:p>
    <w:p w14:paraId="089A61D4" w14:textId="77777777" w:rsidR="00CF020D" w:rsidRPr="00800BEF" w:rsidRDefault="00CF020D" w:rsidP="00CF020D">
      <w:pPr>
        <w:pStyle w:val="Paragraphedeliste"/>
        <w:numPr>
          <w:ilvl w:val="0"/>
          <w:numId w:val="47"/>
        </w:numPr>
        <w:spacing w:after="0" w:line="240" w:lineRule="auto"/>
        <w:ind w:left="1701" w:firstLine="0"/>
        <w:contextualSpacing w:val="0"/>
        <w:jc w:val="both"/>
        <w:rPr>
          <w:rFonts w:eastAsia="Times New Roman"/>
        </w:rPr>
      </w:pPr>
      <w:r w:rsidRPr="00800BEF">
        <w:rPr>
          <w:rFonts w:eastAsia="Times New Roman"/>
        </w:rPr>
        <w:t xml:space="preserve">Ce seuil abaissé est non seulement cohérent avec la possibilité d’offrir des fenêtres de souscriptions/rachats, mais est également plus cohérent avec le pourcentage minimum d’actifs de long-terme dans certains types de fonds (OPCI par exemple), actuellement non-labellisables. </w:t>
      </w:r>
    </w:p>
    <w:p w14:paraId="25A7A9F4" w14:textId="77777777" w:rsidR="00CF020D" w:rsidRPr="00800BEF" w:rsidRDefault="00CF020D" w:rsidP="00CF020D">
      <w:pPr>
        <w:pStyle w:val="Paragraphedeliste"/>
        <w:ind w:left="1701" w:firstLine="414"/>
        <w:jc w:val="both"/>
      </w:pPr>
    </w:p>
    <w:p w14:paraId="2C2FC85D" w14:textId="77777777" w:rsidR="00CF020D" w:rsidRPr="00800BEF" w:rsidRDefault="00CF020D" w:rsidP="00CF020D">
      <w:pPr>
        <w:pStyle w:val="Paragraphedeliste"/>
        <w:numPr>
          <w:ilvl w:val="0"/>
          <w:numId w:val="47"/>
        </w:numPr>
        <w:spacing w:after="0" w:line="240" w:lineRule="auto"/>
        <w:ind w:left="1701" w:firstLine="0"/>
        <w:contextualSpacing w:val="0"/>
        <w:jc w:val="both"/>
        <w:rPr>
          <w:rFonts w:eastAsia="Times New Roman"/>
        </w:rPr>
      </w:pPr>
      <w:r w:rsidRPr="00800BEF">
        <w:rPr>
          <w:rFonts w:eastAsia="Times New Roman"/>
        </w:rPr>
        <w:t xml:space="preserve">Par ailleurs, plusieurs règles de composition de l’actif sont trop contraignantes, </w:t>
      </w:r>
      <w:r>
        <w:rPr>
          <w:rFonts w:eastAsia="Times New Roman"/>
        </w:rPr>
        <w:t xml:space="preserve">   </w:t>
      </w:r>
      <w:r w:rsidRPr="00800BEF">
        <w:rPr>
          <w:rFonts w:eastAsia="Times New Roman"/>
        </w:rPr>
        <w:t>et doivent être revues :</w:t>
      </w:r>
    </w:p>
    <w:p w14:paraId="40265FA4"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rPr>
        <w:t>Les fonds autres que les ELTIF/</w:t>
      </w:r>
      <w:proofErr w:type="spellStart"/>
      <w:r w:rsidRPr="00800BEF">
        <w:rPr>
          <w:rFonts w:eastAsia="Times New Roman"/>
        </w:rPr>
        <w:t>EuSEF</w:t>
      </w:r>
      <w:proofErr w:type="spellEnd"/>
      <w:r w:rsidRPr="00800BEF">
        <w:rPr>
          <w:rFonts w:eastAsia="Times New Roman"/>
        </w:rPr>
        <w:t>/</w:t>
      </w:r>
      <w:proofErr w:type="spellStart"/>
      <w:r w:rsidRPr="00800BEF">
        <w:rPr>
          <w:rFonts w:eastAsia="Times New Roman"/>
        </w:rPr>
        <w:t>EuVeca</w:t>
      </w:r>
      <w:proofErr w:type="spellEnd"/>
      <w:r w:rsidRPr="00800BEF">
        <w:rPr>
          <w:rFonts w:eastAsia="Times New Roman"/>
        </w:rPr>
        <w:t xml:space="preserve"> devraient être éligibles, afin de permettre une meilleure diversification ;</w:t>
      </w:r>
    </w:p>
    <w:p w14:paraId="1B2FF7D6"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i/>
          <w:iCs/>
        </w:rPr>
        <w:t xml:space="preserve">La </w:t>
      </w:r>
      <w:proofErr w:type="spellStart"/>
      <w:r w:rsidRPr="00800BEF">
        <w:rPr>
          <w:rFonts w:eastAsia="Times New Roman"/>
          <w:i/>
          <w:iCs/>
        </w:rPr>
        <w:t>market</w:t>
      </w:r>
      <w:proofErr w:type="spellEnd"/>
      <w:r w:rsidRPr="00800BEF">
        <w:rPr>
          <w:rFonts w:eastAsia="Times New Roman"/>
          <w:i/>
          <w:iCs/>
        </w:rPr>
        <w:t xml:space="preserve"> cap</w:t>
      </w:r>
      <w:r w:rsidRPr="00800BEF">
        <w:rPr>
          <w:rFonts w:eastAsia="Times New Roman"/>
        </w:rPr>
        <w:t xml:space="preserve"> maximum des sociétés cotées éligibles devrait être relevée ;</w:t>
      </w:r>
    </w:p>
    <w:p w14:paraId="1A439DBE"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rPr>
        <w:t>Plusieurs ratios/seuils (valeur d’au moins 10M€ pour qu’on actif physique soit éligible, pas plus de 10% sur un même émetteur, etc.) sont extrêmement contraignants</w:t>
      </w:r>
    </w:p>
    <w:p w14:paraId="2F074310"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rPr>
        <w:t>etc.</w:t>
      </w:r>
    </w:p>
    <w:p w14:paraId="44A489C4" w14:textId="77777777" w:rsidR="00CF020D" w:rsidRPr="00800BEF" w:rsidRDefault="00CF020D" w:rsidP="00CF020D">
      <w:pPr>
        <w:ind w:left="1701" w:firstLine="414"/>
        <w:jc w:val="both"/>
      </w:pPr>
    </w:p>
    <w:p w14:paraId="7745EC95" w14:textId="77777777" w:rsidR="00CF020D" w:rsidRPr="00800BEF" w:rsidRDefault="00CF020D" w:rsidP="00CF020D">
      <w:pPr>
        <w:ind w:left="1701" w:firstLine="414"/>
        <w:jc w:val="both"/>
        <w:rPr>
          <w:u w:val="single"/>
        </w:rPr>
      </w:pPr>
      <w:r w:rsidRPr="00800BEF">
        <w:rPr>
          <w:u w:val="single"/>
        </w:rPr>
        <w:t>Règles de distribution</w:t>
      </w:r>
    </w:p>
    <w:p w14:paraId="5091FBCD" w14:textId="77777777" w:rsidR="00CF020D" w:rsidRPr="00800BEF" w:rsidRDefault="00CF020D" w:rsidP="00CF020D">
      <w:pPr>
        <w:pStyle w:val="Paragraphedeliste"/>
        <w:numPr>
          <w:ilvl w:val="0"/>
          <w:numId w:val="47"/>
        </w:numPr>
        <w:spacing w:after="0" w:line="240" w:lineRule="auto"/>
        <w:ind w:left="1701" w:firstLine="0"/>
        <w:contextualSpacing w:val="0"/>
        <w:jc w:val="both"/>
        <w:rPr>
          <w:rFonts w:eastAsia="Times New Roman"/>
        </w:rPr>
      </w:pPr>
      <w:r w:rsidRPr="00800BEF">
        <w:rPr>
          <w:rFonts w:eastAsia="Times New Roman"/>
        </w:rPr>
        <w:t xml:space="preserve">Les règles actuelles de distribution au </w:t>
      </w:r>
      <w:r w:rsidRPr="00800BEF">
        <w:rPr>
          <w:rFonts w:eastAsia="Times New Roman"/>
          <w:i/>
          <w:iCs/>
        </w:rPr>
        <w:t>retail</w:t>
      </w:r>
      <w:r w:rsidRPr="00800BEF">
        <w:rPr>
          <w:rFonts w:eastAsia="Times New Roman"/>
        </w:rPr>
        <w:t xml:space="preserve"> (ticket minimum, 10% max du portefeuille investi en ELTIF) devront être revues :</w:t>
      </w:r>
    </w:p>
    <w:p w14:paraId="0B75C211"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rPr>
        <w:t>Ces règles actuelles sont très contraignantes/discriminantes et non pertinentes (la notion même de ticket d’entrée ne parait pas en phase avec la réalité opérationnelle, puisque de nombreux investisseurs effectuent des versements programmés)…</w:t>
      </w:r>
    </w:p>
    <w:p w14:paraId="3FA2AA71" w14:textId="77777777" w:rsidR="00CF020D" w:rsidRPr="00800BEF" w:rsidRDefault="00CF020D" w:rsidP="00CF020D">
      <w:pPr>
        <w:pStyle w:val="Paragraphedeliste"/>
        <w:numPr>
          <w:ilvl w:val="1"/>
          <w:numId w:val="47"/>
        </w:numPr>
        <w:spacing w:after="0" w:line="240" w:lineRule="auto"/>
        <w:ind w:left="1701" w:firstLine="414"/>
        <w:contextualSpacing w:val="0"/>
        <w:jc w:val="both"/>
        <w:rPr>
          <w:rFonts w:eastAsia="Times New Roman"/>
        </w:rPr>
      </w:pPr>
      <w:r w:rsidRPr="00800BEF">
        <w:rPr>
          <w:rFonts w:eastAsia="Times New Roman"/>
        </w:rPr>
        <w:t>et sont d’autant moins pertinentes dans le cadre du nouvel ELTIF que nous prônons, qui pourra être plus ouvert, plus diversifié et plus liquide.</w:t>
      </w:r>
    </w:p>
    <w:p w14:paraId="10986507" w14:textId="77777777" w:rsidR="00CF020D" w:rsidRPr="001B3DCA" w:rsidRDefault="00CF020D" w:rsidP="001B3DCA">
      <w:pPr>
        <w:rPr>
          <w:b/>
          <w:bCs/>
          <w:i/>
          <w:iCs/>
        </w:rPr>
      </w:pPr>
    </w:p>
    <w:p w14:paraId="26CFDC72" w14:textId="6B21D0B9" w:rsidR="00CF020D" w:rsidRDefault="00CF020D" w:rsidP="00CF020D">
      <w:pPr>
        <w:pStyle w:val="Paragraphedeliste"/>
        <w:numPr>
          <w:ilvl w:val="0"/>
          <w:numId w:val="44"/>
        </w:numPr>
        <w:rPr>
          <w:b/>
          <w:bCs/>
          <w:i/>
          <w:iCs/>
        </w:rPr>
      </w:pPr>
      <w:r w:rsidRPr="00CF020D">
        <w:rPr>
          <w:b/>
          <w:bCs/>
          <w:i/>
          <w:iCs/>
        </w:rPr>
        <w:t xml:space="preserve">Points importants concernant la consultation de l’ESMA sur l’élaboration de guidelines </w:t>
      </w:r>
      <w:proofErr w:type="spellStart"/>
      <w:r w:rsidRPr="00CF020D">
        <w:rPr>
          <w:b/>
          <w:bCs/>
          <w:i/>
          <w:iCs/>
        </w:rPr>
        <w:t>Crossborder</w:t>
      </w:r>
      <w:proofErr w:type="spellEnd"/>
      <w:r w:rsidRPr="00CF020D">
        <w:rPr>
          <w:b/>
          <w:bCs/>
          <w:i/>
          <w:iCs/>
        </w:rPr>
        <w:t xml:space="preserve"> concernant les documents commerciaux : </w:t>
      </w:r>
    </w:p>
    <w:p w14:paraId="0B512BE4" w14:textId="77777777" w:rsidR="00CF020D" w:rsidRDefault="00CF020D" w:rsidP="00CF020D">
      <w:pPr>
        <w:pStyle w:val="Paragraphedeliste"/>
        <w:rPr>
          <w:b/>
          <w:bCs/>
          <w:i/>
          <w:iCs/>
        </w:rPr>
      </w:pPr>
    </w:p>
    <w:p w14:paraId="28532D45" w14:textId="77777777" w:rsidR="00CF020D" w:rsidRDefault="00CF020D" w:rsidP="00CF020D">
      <w:pPr>
        <w:pStyle w:val="Paragraphedeliste"/>
        <w:numPr>
          <w:ilvl w:val="0"/>
          <w:numId w:val="43"/>
        </w:numPr>
        <w:spacing w:after="160" w:line="252" w:lineRule="auto"/>
        <w:ind w:left="1985"/>
        <w:jc w:val="both"/>
      </w:pPr>
      <w:r>
        <w:t>Les sociétés de gestion ne doivent pas être responsables des documents commerciaux émis par leurs distributeurs ;</w:t>
      </w:r>
    </w:p>
    <w:p w14:paraId="19FC6C9C" w14:textId="77777777" w:rsidR="00CF020D" w:rsidRDefault="00CF020D" w:rsidP="00CF020D">
      <w:pPr>
        <w:pStyle w:val="Paragraphedeliste"/>
        <w:numPr>
          <w:ilvl w:val="0"/>
          <w:numId w:val="43"/>
        </w:numPr>
        <w:spacing w:after="160" w:line="252" w:lineRule="auto"/>
        <w:ind w:left="1985"/>
        <w:jc w:val="both"/>
      </w:pPr>
      <w:r>
        <w:t xml:space="preserve">Les documents règlementaires ainsi que les </w:t>
      </w:r>
      <w:proofErr w:type="spellStart"/>
      <w:r w:rsidRPr="00B72BE7">
        <w:rPr>
          <w:i/>
          <w:iCs/>
        </w:rPr>
        <w:t>reportings</w:t>
      </w:r>
      <w:proofErr w:type="spellEnd"/>
      <w:r>
        <w:t xml:space="preserve"> règlementaires et non règlementaires ne doivent pas être considérés comme des documents marketings ;</w:t>
      </w:r>
    </w:p>
    <w:p w14:paraId="03DF6D86" w14:textId="77777777" w:rsidR="00CF020D" w:rsidRDefault="00CF020D" w:rsidP="00CF020D">
      <w:pPr>
        <w:pStyle w:val="Paragraphedeliste"/>
        <w:numPr>
          <w:ilvl w:val="0"/>
          <w:numId w:val="43"/>
        </w:numPr>
        <w:spacing w:after="160" w:line="252" w:lineRule="auto"/>
        <w:ind w:left="1985"/>
        <w:jc w:val="both"/>
      </w:pPr>
      <w:r>
        <w:t xml:space="preserve">Les mentions à apposer sur un document commercial (disclaimer, description des risques et bénéfices) doivent être adaptés pour les communications </w:t>
      </w:r>
      <w:r w:rsidRPr="00B72BE7">
        <w:rPr>
          <w:i/>
          <w:iCs/>
        </w:rPr>
        <w:t>online</w:t>
      </w:r>
      <w:r>
        <w:rPr>
          <w:i/>
          <w:iCs/>
        </w:rPr>
        <w:t> ;</w:t>
      </w:r>
    </w:p>
    <w:p w14:paraId="2D7960C8" w14:textId="77777777" w:rsidR="00CF020D" w:rsidRDefault="00CF020D" w:rsidP="00CF020D">
      <w:pPr>
        <w:pStyle w:val="Paragraphedeliste"/>
        <w:numPr>
          <w:ilvl w:val="0"/>
          <w:numId w:val="43"/>
        </w:numPr>
        <w:spacing w:after="160" w:line="252" w:lineRule="auto"/>
        <w:ind w:left="1985"/>
        <w:jc w:val="both"/>
      </w:pPr>
      <w:r>
        <w:t>Les informations présentes dans les documents commerciaux ne doivent pas obligatoirement être les mêmes que celles présentes dans les documents règlementaires mais doivent dans tous les cas pas les contredire ;</w:t>
      </w:r>
    </w:p>
    <w:p w14:paraId="2482ADDA" w14:textId="77777777" w:rsidR="00CF020D" w:rsidRPr="00B72BE7" w:rsidRDefault="00CF020D" w:rsidP="00CF020D">
      <w:pPr>
        <w:pStyle w:val="Paragraphedeliste"/>
        <w:numPr>
          <w:ilvl w:val="0"/>
          <w:numId w:val="43"/>
        </w:numPr>
        <w:ind w:left="1985"/>
        <w:jc w:val="both"/>
      </w:pPr>
      <w:r>
        <w:t>Il ne faut pas créer de</w:t>
      </w:r>
      <w:r w:rsidRPr="00B72BE7">
        <w:t xml:space="preserve"> règles là o</w:t>
      </w:r>
      <w:r>
        <w:t>ù</w:t>
      </w:r>
      <w:r w:rsidRPr="00B72BE7">
        <w:t xml:space="preserve"> MIF II en </w:t>
      </w:r>
      <w:r>
        <w:t>prévoit</w:t>
      </w:r>
      <w:r w:rsidRPr="00B72BE7">
        <w:t xml:space="preserve"> déjà car le client ne comprendrait pas. Par exemple</w:t>
      </w:r>
      <w:r>
        <w:t>,</w:t>
      </w:r>
      <w:r w:rsidRPr="00B72BE7">
        <w:t xml:space="preserve"> concernant la période </w:t>
      </w:r>
      <w:r>
        <w:t>d’affichage des performances passées, l</w:t>
      </w:r>
      <w:r w:rsidRPr="00B72BE7">
        <w:t xml:space="preserve">e texte veut prévoir une période de 10 ans pour les fonds alors qu’aujourd’hui </w:t>
      </w:r>
      <w:r>
        <w:t>MIF II prévoit</w:t>
      </w:r>
      <w:r w:rsidRPr="00B72BE7">
        <w:t xml:space="preserve"> une période de 5 ans </w:t>
      </w:r>
    </w:p>
    <w:p w14:paraId="44544BD4" w14:textId="183C73E2" w:rsidR="00CF020D" w:rsidRDefault="00CF020D" w:rsidP="00CF020D">
      <w:pPr>
        <w:pStyle w:val="Paragraphedeliste"/>
        <w:numPr>
          <w:ilvl w:val="0"/>
          <w:numId w:val="43"/>
        </w:numPr>
        <w:ind w:left="1985"/>
        <w:jc w:val="both"/>
      </w:pPr>
      <w:r w:rsidRPr="00B72BE7">
        <w:t xml:space="preserve">La règlementation </w:t>
      </w:r>
      <w:proofErr w:type="spellStart"/>
      <w:r w:rsidRPr="00B72BE7">
        <w:rPr>
          <w:i/>
          <w:iCs/>
        </w:rPr>
        <w:t>Crossborder</w:t>
      </w:r>
      <w:proofErr w:type="spellEnd"/>
      <w:r w:rsidRPr="00B72BE7">
        <w:t xml:space="preserve"> ne doit pas imposer de </w:t>
      </w:r>
      <w:r>
        <w:t>n</w:t>
      </w:r>
      <w:r w:rsidRPr="00B72BE7">
        <w:t xml:space="preserve">ouvelles obligations ayant trait à l’ESG avant que les textes spécifiques à l’ESG entrent en vigueur.  </w:t>
      </w:r>
    </w:p>
    <w:p w14:paraId="62366A55" w14:textId="77777777" w:rsidR="00CF020D" w:rsidRPr="00B72BE7" w:rsidRDefault="00CF020D" w:rsidP="00CF020D">
      <w:pPr>
        <w:pStyle w:val="Paragraphedeliste"/>
        <w:ind w:left="1985"/>
        <w:jc w:val="both"/>
      </w:pPr>
    </w:p>
    <w:p w14:paraId="6B9F7FF0" w14:textId="2E8585AD" w:rsidR="00B548FA" w:rsidRPr="001B3DCA" w:rsidRDefault="00CF020D" w:rsidP="00CF020D">
      <w:pPr>
        <w:pStyle w:val="Paragraphedeliste"/>
        <w:numPr>
          <w:ilvl w:val="0"/>
          <w:numId w:val="35"/>
        </w:numPr>
        <w:rPr>
          <w:b/>
          <w:bCs/>
        </w:rPr>
      </w:pPr>
      <w:bookmarkStart w:id="1" w:name="_Hlk48925464"/>
      <w:r w:rsidRPr="001B3DCA">
        <w:rPr>
          <w:b/>
          <w:bCs/>
        </w:rPr>
        <w:t>Rappel des réunions pays</w:t>
      </w:r>
    </w:p>
    <w:p w14:paraId="75D11CF2" w14:textId="5E899D46" w:rsidR="00CB5947" w:rsidRDefault="00CB5947" w:rsidP="00CB5947">
      <w:pPr>
        <w:pStyle w:val="Paragraphedeliste"/>
        <w:numPr>
          <w:ilvl w:val="0"/>
          <w:numId w:val="43"/>
        </w:numPr>
      </w:pPr>
      <w:r w:rsidRPr="00CB5947">
        <w:t>3 mars</w:t>
      </w:r>
      <w:r w:rsidR="00CD601A">
        <w:t> :</w:t>
      </w:r>
      <w:r w:rsidRPr="00CB5947">
        <w:t xml:space="preserve"> Club Export "La relance par l'exportation"</w:t>
      </w:r>
    </w:p>
    <w:p w14:paraId="6AE9400C" w14:textId="60E6B7ED" w:rsidR="00CB5947" w:rsidRDefault="00CB5947" w:rsidP="00CB5947">
      <w:pPr>
        <w:pStyle w:val="Paragraphedeliste"/>
        <w:numPr>
          <w:ilvl w:val="0"/>
          <w:numId w:val="43"/>
        </w:numPr>
      </w:pPr>
      <w:r w:rsidRPr="00CB5947">
        <w:t>30 mars</w:t>
      </w:r>
      <w:r w:rsidR="00CD601A">
        <w:t> :</w:t>
      </w:r>
      <w:r w:rsidRPr="00CB5947">
        <w:t xml:space="preserve"> </w:t>
      </w:r>
      <w:r>
        <w:t>R</w:t>
      </w:r>
      <w:r w:rsidRPr="00CB5947">
        <w:t xml:space="preserve">éunion </w:t>
      </w:r>
      <w:r>
        <w:t>P</w:t>
      </w:r>
      <w:r w:rsidRPr="00CB5947">
        <w:t xml:space="preserve">ays </w:t>
      </w:r>
      <w:r>
        <w:t>Belgique</w:t>
      </w:r>
    </w:p>
    <w:p w14:paraId="11FF92A9" w14:textId="56F0A977" w:rsidR="00CB5947" w:rsidRPr="00CB5947" w:rsidRDefault="00CB5947" w:rsidP="00CB5947">
      <w:pPr>
        <w:pStyle w:val="Paragraphedeliste"/>
        <w:numPr>
          <w:ilvl w:val="0"/>
          <w:numId w:val="43"/>
        </w:numPr>
      </w:pPr>
      <w:r>
        <w:t>Dates à préciser : Réunions Pays</w:t>
      </w:r>
      <w:r w:rsidRPr="00CB5947">
        <w:t xml:space="preserve"> Canada et UK </w:t>
      </w:r>
    </w:p>
    <w:p w14:paraId="5365FCB6" w14:textId="77777777" w:rsidR="001B3DCA" w:rsidRPr="006B3CB8" w:rsidRDefault="001B3DCA" w:rsidP="00CB5947">
      <w:pPr>
        <w:ind w:left="360"/>
      </w:pPr>
    </w:p>
    <w:p w14:paraId="0586ACA7" w14:textId="1798656A" w:rsidR="00710AC3" w:rsidRPr="00472A3A" w:rsidRDefault="00710AC3" w:rsidP="00472A3A">
      <w:pPr>
        <w:pStyle w:val="Paragraphedeliste"/>
        <w:numPr>
          <w:ilvl w:val="0"/>
          <w:numId w:val="35"/>
        </w:numPr>
        <w:rPr>
          <w:b/>
          <w:bCs/>
        </w:rPr>
      </w:pPr>
      <w:r w:rsidRPr="00472A3A">
        <w:rPr>
          <w:b/>
          <w:bCs/>
        </w:rPr>
        <w:t>Autres sujets</w:t>
      </w:r>
    </w:p>
    <w:bookmarkEnd w:id="1"/>
    <w:p w14:paraId="5BAA4107" w14:textId="3F6DDECD" w:rsidR="00156420" w:rsidRPr="00156420" w:rsidRDefault="00156420" w:rsidP="00EE0086">
      <w:pPr>
        <w:pStyle w:val="Paragraphedeliste"/>
        <w:spacing w:after="160" w:line="252" w:lineRule="auto"/>
        <w:jc w:val="both"/>
        <w:rPr>
          <w:rFonts w:eastAsia="Times New Roman"/>
          <w:b/>
          <w:bCs/>
        </w:rPr>
      </w:pPr>
    </w:p>
    <w:p w14:paraId="4D755227" w14:textId="57B1CC6D" w:rsidR="00004519" w:rsidRDefault="00004519" w:rsidP="00004519">
      <w:pPr>
        <w:spacing w:after="160" w:line="252" w:lineRule="auto"/>
        <w:rPr>
          <w:rFonts w:eastAsia="Times New Roman"/>
          <w:b/>
          <w:bCs/>
          <w:i/>
          <w:iCs/>
        </w:rPr>
      </w:pPr>
    </w:p>
    <w:p w14:paraId="5AFC5FF7" w14:textId="57B1CC6D" w:rsidR="00004519" w:rsidRPr="00004519" w:rsidRDefault="00004519" w:rsidP="00004519">
      <w:pPr>
        <w:spacing w:after="160" w:line="252" w:lineRule="auto"/>
        <w:jc w:val="center"/>
        <w:rPr>
          <w:rFonts w:eastAsia="Times New Roman"/>
          <w:b/>
          <w:bCs/>
        </w:rPr>
      </w:pPr>
      <w:r w:rsidRPr="00004519">
        <w:rPr>
          <w:rFonts w:eastAsia="Times New Roman"/>
          <w:b/>
          <w:bCs/>
        </w:rPr>
        <w:t>°-°-°</w:t>
      </w:r>
    </w:p>
    <w:bookmarkEnd w:id="0"/>
    <w:p w14:paraId="6BD55D0A" w14:textId="735F46F6" w:rsidR="005D0CB1" w:rsidRDefault="005D0CB1" w:rsidP="00FA701C">
      <w:pPr>
        <w:rPr>
          <w:rFonts w:ascii="Calibri" w:hAnsi="Calibri" w:cs="Calibri"/>
        </w:rPr>
      </w:pPr>
    </w:p>
    <w:p w14:paraId="29322ECC" w14:textId="77777777" w:rsidR="005D0CB1" w:rsidRDefault="005D0CB1" w:rsidP="00FA701C">
      <w:pPr>
        <w:rPr>
          <w:rFonts w:ascii="Calibri" w:hAnsi="Calibri" w:cs="Calibri"/>
        </w:rPr>
      </w:pPr>
    </w:p>
    <w:sectPr w:rsidR="005D0CB1" w:rsidSect="00897C5C">
      <w:footerReference w:type="default" r:id="rId8"/>
      <w:pgSz w:w="11906" w:h="16838"/>
      <w:pgMar w:top="624" w:right="1416" w:bottom="62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6F32B" w14:textId="77777777" w:rsidR="009B6F71" w:rsidRDefault="009B6F71" w:rsidP="003F653A">
      <w:pPr>
        <w:spacing w:after="0" w:line="240" w:lineRule="auto"/>
      </w:pPr>
      <w:r>
        <w:separator/>
      </w:r>
    </w:p>
  </w:endnote>
  <w:endnote w:type="continuationSeparator" w:id="0">
    <w:p w14:paraId="63412E58" w14:textId="77777777" w:rsidR="009B6F71" w:rsidRDefault="009B6F71" w:rsidP="003F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145271"/>
      <w:docPartObj>
        <w:docPartGallery w:val="Page Numbers (Bottom of Page)"/>
        <w:docPartUnique/>
      </w:docPartObj>
    </w:sdtPr>
    <w:sdtEndPr/>
    <w:sdtContent>
      <w:p w14:paraId="1FBFCBE3" w14:textId="6AF031DC" w:rsidR="004C63A7" w:rsidRDefault="004C63A7">
        <w:pPr>
          <w:pStyle w:val="Pieddepage"/>
          <w:jc w:val="right"/>
        </w:pPr>
        <w:r>
          <w:fldChar w:fldCharType="begin"/>
        </w:r>
        <w:r>
          <w:instrText>PAGE   \* MERGEFORMAT</w:instrText>
        </w:r>
        <w:r>
          <w:fldChar w:fldCharType="separate"/>
        </w:r>
        <w:r>
          <w:t>2</w:t>
        </w:r>
        <w:r>
          <w:fldChar w:fldCharType="end"/>
        </w:r>
      </w:p>
    </w:sdtContent>
  </w:sdt>
  <w:p w14:paraId="59C50A71" w14:textId="77777777" w:rsidR="003F653A" w:rsidRDefault="003F65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10FA" w14:textId="77777777" w:rsidR="009B6F71" w:rsidRDefault="009B6F71" w:rsidP="003F653A">
      <w:pPr>
        <w:spacing w:after="0" w:line="240" w:lineRule="auto"/>
      </w:pPr>
      <w:r>
        <w:separator/>
      </w:r>
    </w:p>
  </w:footnote>
  <w:footnote w:type="continuationSeparator" w:id="0">
    <w:p w14:paraId="317A9AB9" w14:textId="77777777" w:rsidR="009B6F71" w:rsidRDefault="009B6F71" w:rsidP="003F6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29F"/>
    <w:multiLevelType w:val="hybridMultilevel"/>
    <w:tmpl w:val="752CB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621B5"/>
    <w:multiLevelType w:val="hybridMultilevel"/>
    <w:tmpl w:val="885255B8"/>
    <w:lvl w:ilvl="0" w:tplc="7EE82198">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15ADB"/>
    <w:multiLevelType w:val="hybridMultilevel"/>
    <w:tmpl w:val="92508D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54E7C"/>
    <w:multiLevelType w:val="multilevel"/>
    <w:tmpl w:val="601C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B3E47"/>
    <w:multiLevelType w:val="hybridMultilevel"/>
    <w:tmpl w:val="3AA64CE8"/>
    <w:lvl w:ilvl="0" w:tplc="85CEAEE6">
      <w:start w:val="1"/>
      <w:numFmt w:val="upperRoman"/>
      <w:lvlText w:val="%1."/>
      <w:lvlJc w:val="left"/>
      <w:pPr>
        <w:ind w:left="1080" w:hanging="720"/>
      </w:pPr>
      <w:rPr>
        <w:rFonts w:hint="default"/>
      </w:rPr>
    </w:lvl>
    <w:lvl w:ilvl="1" w:tplc="9C7CD916">
      <w:start w:val="1"/>
      <w:numFmt w:val="bullet"/>
      <w:lvlText w:val="-"/>
      <w:lvlJc w:val="left"/>
      <w:pPr>
        <w:ind w:left="1440" w:hanging="360"/>
      </w:pPr>
      <w:rPr>
        <w:rFonts w:ascii="Calibri" w:eastAsia="Times New Roman"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8D69D8"/>
    <w:multiLevelType w:val="hybridMultilevel"/>
    <w:tmpl w:val="DC1821D2"/>
    <w:lvl w:ilvl="0" w:tplc="E08E3C18">
      <w:start w:val="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BB23D00"/>
    <w:multiLevelType w:val="hybridMultilevel"/>
    <w:tmpl w:val="7E98F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F1101B"/>
    <w:multiLevelType w:val="hybridMultilevel"/>
    <w:tmpl w:val="2E2E0D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473EA1"/>
    <w:multiLevelType w:val="multilevel"/>
    <w:tmpl w:val="B71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8447E"/>
    <w:multiLevelType w:val="hybridMultilevel"/>
    <w:tmpl w:val="051C5262"/>
    <w:lvl w:ilvl="0" w:tplc="CDB2DF44">
      <w:start w:val="1"/>
      <w:numFmt w:val="upperRoman"/>
      <w:lvlText w:val="%1."/>
      <w:lvlJc w:val="left"/>
      <w:pPr>
        <w:ind w:left="1996" w:hanging="720"/>
      </w:pPr>
      <w:rPr>
        <w:rFonts w:ascii="Calibri" w:eastAsia="Times New Roman" w:hAnsi="Calibri" w:cs="Calibri"/>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0" w15:restartNumberingAfterBreak="0">
    <w:nsid w:val="27C57B0F"/>
    <w:multiLevelType w:val="hybridMultilevel"/>
    <w:tmpl w:val="B032210E"/>
    <w:lvl w:ilvl="0" w:tplc="1F9E62C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AA2A9E"/>
    <w:multiLevelType w:val="hybridMultilevel"/>
    <w:tmpl w:val="68DC418E"/>
    <w:lvl w:ilvl="0" w:tplc="9A58C2F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BE34A7"/>
    <w:multiLevelType w:val="hybridMultilevel"/>
    <w:tmpl w:val="8D8CD968"/>
    <w:lvl w:ilvl="0" w:tplc="020C093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BF648C1"/>
    <w:multiLevelType w:val="hybridMultilevel"/>
    <w:tmpl w:val="3774DA6C"/>
    <w:lvl w:ilvl="0" w:tplc="7EE82198">
      <w:start w:val="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C545C76"/>
    <w:multiLevelType w:val="hybridMultilevel"/>
    <w:tmpl w:val="6960FD9A"/>
    <w:lvl w:ilvl="0" w:tplc="CD32A708">
      <w:start w:val="1"/>
      <w:numFmt w:val="upperRoman"/>
      <w:lvlText w:val="%1."/>
      <w:lvlJc w:val="left"/>
      <w:pPr>
        <w:ind w:left="1440" w:hanging="720"/>
      </w:pPr>
      <w:rPr>
        <w:rFonts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F796348"/>
    <w:multiLevelType w:val="hybridMultilevel"/>
    <w:tmpl w:val="1AD22BF4"/>
    <w:lvl w:ilvl="0" w:tplc="9C7CD9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B768F"/>
    <w:multiLevelType w:val="hybridMultilevel"/>
    <w:tmpl w:val="F61C21E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17926AC"/>
    <w:multiLevelType w:val="hybridMultilevel"/>
    <w:tmpl w:val="CC382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623F03"/>
    <w:multiLevelType w:val="hybridMultilevel"/>
    <w:tmpl w:val="52C6D18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352210FF"/>
    <w:multiLevelType w:val="hybridMultilevel"/>
    <w:tmpl w:val="53BEFE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5AE0262"/>
    <w:multiLevelType w:val="hybridMultilevel"/>
    <w:tmpl w:val="8766E47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779536C"/>
    <w:multiLevelType w:val="hybridMultilevel"/>
    <w:tmpl w:val="34180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18602B"/>
    <w:multiLevelType w:val="hybridMultilevel"/>
    <w:tmpl w:val="5E0C69C4"/>
    <w:lvl w:ilvl="0" w:tplc="F5B01784">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23" w15:restartNumberingAfterBreak="0">
    <w:nsid w:val="3B4A5175"/>
    <w:multiLevelType w:val="hybridMultilevel"/>
    <w:tmpl w:val="9DD0A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F669D6"/>
    <w:multiLevelType w:val="hybridMultilevel"/>
    <w:tmpl w:val="166A3EB0"/>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25" w15:restartNumberingAfterBreak="0">
    <w:nsid w:val="4351379B"/>
    <w:multiLevelType w:val="hybridMultilevel"/>
    <w:tmpl w:val="40FED9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44727C12"/>
    <w:multiLevelType w:val="hybridMultilevel"/>
    <w:tmpl w:val="D662EA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B72E3"/>
    <w:multiLevelType w:val="hybridMultilevel"/>
    <w:tmpl w:val="16A4EB4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A7807"/>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9" w15:restartNumberingAfterBreak="0">
    <w:nsid w:val="513E0B6B"/>
    <w:multiLevelType w:val="hybridMultilevel"/>
    <w:tmpl w:val="5F628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DF0D1B"/>
    <w:multiLevelType w:val="hybridMultilevel"/>
    <w:tmpl w:val="19449066"/>
    <w:lvl w:ilvl="0" w:tplc="CC405F8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A17B25"/>
    <w:multiLevelType w:val="hybridMultilevel"/>
    <w:tmpl w:val="869211C4"/>
    <w:lvl w:ilvl="0" w:tplc="E2C67E0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06653E"/>
    <w:multiLevelType w:val="hybridMultilevel"/>
    <w:tmpl w:val="09822176"/>
    <w:lvl w:ilvl="0" w:tplc="4B9AB764">
      <w:start w:val="1"/>
      <w:numFmt w:val="bullet"/>
      <w:lvlText w:val="-"/>
      <w:lvlJc w:val="left"/>
      <w:pPr>
        <w:ind w:left="720" w:hanging="360"/>
      </w:pPr>
      <w:rPr>
        <w:rFonts w:ascii="Calibri" w:eastAsia="Times New Roman"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102EDF"/>
    <w:multiLevelType w:val="hybridMultilevel"/>
    <w:tmpl w:val="803E7152"/>
    <w:lvl w:ilvl="0" w:tplc="6414B092">
      <w:start w:val="1"/>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5BBC0490"/>
    <w:multiLevelType w:val="hybridMultilevel"/>
    <w:tmpl w:val="5A86564C"/>
    <w:lvl w:ilvl="0" w:tplc="9C7CD916">
      <w:start w:val="1"/>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61CE7A73"/>
    <w:multiLevelType w:val="multilevel"/>
    <w:tmpl w:val="B25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B34BA1"/>
    <w:multiLevelType w:val="hybridMultilevel"/>
    <w:tmpl w:val="A3383D36"/>
    <w:lvl w:ilvl="0" w:tplc="CEA2CE6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3A85DA5"/>
    <w:multiLevelType w:val="hybridMultilevel"/>
    <w:tmpl w:val="A0B82176"/>
    <w:lvl w:ilvl="0" w:tplc="BEC893B2">
      <w:start w:val="6"/>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8" w15:restartNumberingAfterBreak="0">
    <w:nsid w:val="655959DB"/>
    <w:multiLevelType w:val="hybridMultilevel"/>
    <w:tmpl w:val="69F68C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58A2040"/>
    <w:multiLevelType w:val="hybridMultilevel"/>
    <w:tmpl w:val="9F64512C"/>
    <w:lvl w:ilvl="0" w:tplc="82626EB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0" w15:restartNumberingAfterBreak="0">
    <w:nsid w:val="698C782E"/>
    <w:multiLevelType w:val="hybridMultilevel"/>
    <w:tmpl w:val="A30CA0E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9EC5769"/>
    <w:multiLevelType w:val="hybridMultilevel"/>
    <w:tmpl w:val="368E6C58"/>
    <w:lvl w:ilvl="0" w:tplc="91C8538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D94274F"/>
    <w:multiLevelType w:val="multilevel"/>
    <w:tmpl w:val="9970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E1DEA"/>
    <w:multiLevelType w:val="hybridMultilevel"/>
    <w:tmpl w:val="804A1BBC"/>
    <w:lvl w:ilvl="0" w:tplc="9C7CD916">
      <w:start w:val="1"/>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95B6221"/>
    <w:multiLevelType w:val="hybridMultilevel"/>
    <w:tmpl w:val="C5B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65E8C"/>
    <w:multiLevelType w:val="hybridMultilevel"/>
    <w:tmpl w:val="4C4C52F0"/>
    <w:lvl w:ilvl="0" w:tplc="E75417B8">
      <w:start w:val="1"/>
      <w:numFmt w:val="upperRoman"/>
      <w:lvlText w:val="%1."/>
      <w:lvlJc w:val="left"/>
      <w:pPr>
        <w:ind w:left="1080" w:hanging="720"/>
      </w:pPr>
      <w:rPr>
        <w:rFonts w:hint="default"/>
        <w:b/>
        <w:bCs/>
        <w:i w:val="0"/>
        <w:iCs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4"/>
  </w:num>
  <w:num w:numId="3">
    <w:abstractNumId w:val="33"/>
  </w:num>
  <w:num w:numId="4">
    <w:abstractNumId w:val="34"/>
  </w:num>
  <w:num w:numId="5">
    <w:abstractNumId w:val="8"/>
  </w:num>
  <w:num w:numId="6">
    <w:abstractNumId w:val="42"/>
  </w:num>
  <w:num w:numId="7">
    <w:abstractNumId w:val="35"/>
  </w:num>
  <w:num w:numId="8">
    <w:abstractNumId w:val="3"/>
  </w:num>
  <w:num w:numId="9">
    <w:abstractNumId w:val="31"/>
  </w:num>
  <w:num w:numId="10">
    <w:abstractNumId w:val="37"/>
  </w:num>
  <w:num w:numId="11">
    <w:abstractNumId w:val="43"/>
  </w:num>
  <w:num w:numId="12">
    <w:abstractNumId w:val="13"/>
  </w:num>
  <w:num w:numId="13">
    <w:abstractNumId w:val="9"/>
  </w:num>
  <w:num w:numId="14">
    <w:abstractNumId w:val="32"/>
  </w:num>
  <w:num w:numId="15">
    <w:abstractNumId w:val="11"/>
  </w:num>
  <w:num w:numId="16">
    <w:abstractNumId w:val="0"/>
  </w:num>
  <w:num w:numId="17">
    <w:abstractNumId w:val="23"/>
  </w:num>
  <w:num w:numId="18">
    <w:abstractNumId w:val="21"/>
  </w:num>
  <w:num w:numId="19">
    <w:abstractNumId w:val="17"/>
  </w:num>
  <w:num w:numId="20">
    <w:abstractNumId w:val="10"/>
  </w:num>
  <w:num w:numId="21">
    <w:abstractNumId w:val="12"/>
  </w:num>
  <w:num w:numId="22">
    <w:abstractNumId w:val="36"/>
  </w:num>
  <w:num w:numId="23">
    <w:abstractNumId w:val="20"/>
  </w:num>
  <w:num w:numId="24">
    <w:abstractNumId w:val="22"/>
  </w:num>
  <w:num w:numId="25">
    <w:abstractNumId w:val="18"/>
  </w:num>
  <w:num w:numId="26">
    <w:abstractNumId w:val="29"/>
  </w:num>
  <w:num w:numId="27">
    <w:abstractNumId w:val="41"/>
  </w:num>
  <w:num w:numId="28">
    <w:abstractNumId w:val="7"/>
  </w:num>
  <w:num w:numId="29">
    <w:abstractNumId w:val="38"/>
  </w:num>
  <w:num w:numId="30">
    <w:abstractNumId w:val="16"/>
  </w:num>
  <w:num w:numId="31">
    <w:abstractNumId w:val="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num>
  <w:num w:numId="35">
    <w:abstractNumId w:val="45"/>
  </w:num>
  <w:num w:numId="36">
    <w:abstractNumId w:val="40"/>
  </w:num>
  <w:num w:numId="37">
    <w:abstractNumId w:val="30"/>
  </w:num>
  <w:num w:numId="38">
    <w:abstractNumId w:val="14"/>
  </w:num>
  <w:num w:numId="39">
    <w:abstractNumId w:val="1"/>
  </w:num>
  <w:num w:numId="40">
    <w:abstractNumId w:val="5"/>
  </w:num>
  <w:num w:numId="41">
    <w:abstractNumId w:val="15"/>
  </w:num>
  <w:num w:numId="42">
    <w:abstractNumId w:val="26"/>
  </w:num>
  <w:num w:numId="43">
    <w:abstractNumId w:val="39"/>
  </w:num>
  <w:num w:numId="44">
    <w:abstractNumId w:val="27"/>
  </w:num>
  <w:num w:numId="45">
    <w:abstractNumId w:val="6"/>
  </w:num>
  <w:num w:numId="46">
    <w:abstractNumId w:val="44"/>
  </w:num>
  <w:num w:numId="4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F8"/>
    <w:rsid w:val="00004519"/>
    <w:rsid w:val="00011203"/>
    <w:rsid w:val="00014315"/>
    <w:rsid w:val="0002084B"/>
    <w:rsid w:val="00021A7E"/>
    <w:rsid w:val="000225E9"/>
    <w:rsid w:val="000338A0"/>
    <w:rsid w:val="00036CC0"/>
    <w:rsid w:val="00041780"/>
    <w:rsid w:val="0004286B"/>
    <w:rsid w:val="00047979"/>
    <w:rsid w:val="00055D34"/>
    <w:rsid w:val="00061101"/>
    <w:rsid w:val="00067EA6"/>
    <w:rsid w:val="000B224E"/>
    <w:rsid w:val="000B2E26"/>
    <w:rsid w:val="000C05FC"/>
    <w:rsid w:val="000D1CEE"/>
    <w:rsid w:val="000E3921"/>
    <w:rsid w:val="00100420"/>
    <w:rsid w:val="0010080C"/>
    <w:rsid w:val="0010111C"/>
    <w:rsid w:val="00105542"/>
    <w:rsid w:val="00105CAC"/>
    <w:rsid w:val="00116EF3"/>
    <w:rsid w:val="00141950"/>
    <w:rsid w:val="00147D46"/>
    <w:rsid w:val="00150A6D"/>
    <w:rsid w:val="001517C6"/>
    <w:rsid w:val="00153B52"/>
    <w:rsid w:val="00156420"/>
    <w:rsid w:val="00163828"/>
    <w:rsid w:val="00170BFC"/>
    <w:rsid w:val="00174DAC"/>
    <w:rsid w:val="00180710"/>
    <w:rsid w:val="001825CE"/>
    <w:rsid w:val="001845BD"/>
    <w:rsid w:val="001849B8"/>
    <w:rsid w:val="00184E3B"/>
    <w:rsid w:val="001917CB"/>
    <w:rsid w:val="00191EDE"/>
    <w:rsid w:val="00192C0E"/>
    <w:rsid w:val="00195344"/>
    <w:rsid w:val="001A1015"/>
    <w:rsid w:val="001A219F"/>
    <w:rsid w:val="001A394A"/>
    <w:rsid w:val="001A5AD8"/>
    <w:rsid w:val="001A620B"/>
    <w:rsid w:val="001B3DCA"/>
    <w:rsid w:val="001C2F40"/>
    <w:rsid w:val="001C3D1F"/>
    <w:rsid w:val="001C4AD9"/>
    <w:rsid w:val="001D1F31"/>
    <w:rsid w:val="001D4080"/>
    <w:rsid w:val="001D687D"/>
    <w:rsid w:val="001E1152"/>
    <w:rsid w:val="001E72B1"/>
    <w:rsid w:val="001E7582"/>
    <w:rsid w:val="001F04D3"/>
    <w:rsid w:val="001F113B"/>
    <w:rsid w:val="001F7359"/>
    <w:rsid w:val="00206845"/>
    <w:rsid w:val="00216D77"/>
    <w:rsid w:val="00220FF2"/>
    <w:rsid w:val="00227FBC"/>
    <w:rsid w:val="00233191"/>
    <w:rsid w:val="00236495"/>
    <w:rsid w:val="002407A1"/>
    <w:rsid w:val="00245B90"/>
    <w:rsid w:val="00250C96"/>
    <w:rsid w:val="00251A34"/>
    <w:rsid w:val="00255F52"/>
    <w:rsid w:val="00262B92"/>
    <w:rsid w:val="00266292"/>
    <w:rsid w:val="00266768"/>
    <w:rsid w:val="0028724B"/>
    <w:rsid w:val="00293A17"/>
    <w:rsid w:val="002975BE"/>
    <w:rsid w:val="002B08EC"/>
    <w:rsid w:val="002B245E"/>
    <w:rsid w:val="002B2B4C"/>
    <w:rsid w:val="002B3914"/>
    <w:rsid w:val="002B61C2"/>
    <w:rsid w:val="002C432E"/>
    <w:rsid w:val="002D169B"/>
    <w:rsid w:val="002D20D4"/>
    <w:rsid w:val="002E73C1"/>
    <w:rsid w:val="00301B3E"/>
    <w:rsid w:val="00302E7C"/>
    <w:rsid w:val="0033107F"/>
    <w:rsid w:val="00340C3A"/>
    <w:rsid w:val="0035270F"/>
    <w:rsid w:val="00370199"/>
    <w:rsid w:val="003719FF"/>
    <w:rsid w:val="003748E2"/>
    <w:rsid w:val="003754FD"/>
    <w:rsid w:val="00375B0F"/>
    <w:rsid w:val="00394E03"/>
    <w:rsid w:val="00395F56"/>
    <w:rsid w:val="003A3769"/>
    <w:rsid w:val="003C23B7"/>
    <w:rsid w:val="003C28D5"/>
    <w:rsid w:val="003C38C9"/>
    <w:rsid w:val="003D0299"/>
    <w:rsid w:val="003D3FC8"/>
    <w:rsid w:val="003E1AD8"/>
    <w:rsid w:val="003E424B"/>
    <w:rsid w:val="003F055A"/>
    <w:rsid w:val="003F180F"/>
    <w:rsid w:val="003F1A50"/>
    <w:rsid w:val="003F30AE"/>
    <w:rsid w:val="003F33FB"/>
    <w:rsid w:val="003F653A"/>
    <w:rsid w:val="004066ED"/>
    <w:rsid w:val="00410315"/>
    <w:rsid w:val="004137A7"/>
    <w:rsid w:val="00415FB1"/>
    <w:rsid w:val="004269F2"/>
    <w:rsid w:val="00432A59"/>
    <w:rsid w:val="00433116"/>
    <w:rsid w:val="004409AC"/>
    <w:rsid w:val="004573EE"/>
    <w:rsid w:val="00457BF7"/>
    <w:rsid w:val="00462785"/>
    <w:rsid w:val="00464C2C"/>
    <w:rsid w:val="00472A3A"/>
    <w:rsid w:val="00476874"/>
    <w:rsid w:val="004929A7"/>
    <w:rsid w:val="004A1C51"/>
    <w:rsid w:val="004C63A7"/>
    <w:rsid w:val="004D5675"/>
    <w:rsid w:val="004D6549"/>
    <w:rsid w:val="004E7466"/>
    <w:rsid w:val="004F012C"/>
    <w:rsid w:val="00506471"/>
    <w:rsid w:val="00514C6F"/>
    <w:rsid w:val="0051720A"/>
    <w:rsid w:val="00524279"/>
    <w:rsid w:val="005560E6"/>
    <w:rsid w:val="0056246C"/>
    <w:rsid w:val="00567D64"/>
    <w:rsid w:val="00571B55"/>
    <w:rsid w:val="00581232"/>
    <w:rsid w:val="00583A8A"/>
    <w:rsid w:val="00593D28"/>
    <w:rsid w:val="00593F78"/>
    <w:rsid w:val="005A2C99"/>
    <w:rsid w:val="005B13EC"/>
    <w:rsid w:val="005B2111"/>
    <w:rsid w:val="005B69AF"/>
    <w:rsid w:val="005C4636"/>
    <w:rsid w:val="005D0CB1"/>
    <w:rsid w:val="005D1660"/>
    <w:rsid w:val="005D7D53"/>
    <w:rsid w:val="005E626F"/>
    <w:rsid w:val="005E6E15"/>
    <w:rsid w:val="005F1614"/>
    <w:rsid w:val="005F5A15"/>
    <w:rsid w:val="005F7B15"/>
    <w:rsid w:val="00605F80"/>
    <w:rsid w:val="006068CD"/>
    <w:rsid w:val="0060759A"/>
    <w:rsid w:val="00607B97"/>
    <w:rsid w:val="00607BF7"/>
    <w:rsid w:val="00610E60"/>
    <w:rsid w:val="006132DA"/>
    <w:rsid w:val="00635E14"/>
    <w:rsid w:val="00647B3E"/>
    <w:rsid w:val="00655B01"/>
    <w:rsid w:val="00656F08"/>
    <w:rsid w:val="00663EFD"/>
    <w:rsid w:val="0067103B"/>
    <w:rsid w:val="006928EA"/>
    <w:rsid w:val="00693F71"/>
    <w:rsid w:val="006B0BE5"/>
    <w:rsid w:val="006B3CB8"/>
    <w:rsid w:val="006D751E"/>
    <w:rsid w:val="006E628A"/>
    <w:rsid w:val="006F2DF2"/>
    <w:rsid w:val="007003A4"/>
    <w:rsid w:val="00705813"/>
    <w:rsid w:val="00710AC3"/>
    <w:rsid w:val="00716EAF"/>
    <w:rsid w:val="0075011E"/>
    <w:rsid w:val="0075173B"/>
    <w:rsid w:val="007663C8"/>
    <w:rsid w:val="00771728"/>
    <w:rsid w:val="00771A6B"/>
    <w:rsid w:val="00777C3F"/>
    <w:rsid w:val="007948E9"/>
    <w:rsid w:val="007959FE"/>
    <w:rsid w:val="007B32CC"/>
    <w:rsid w:val="007B3490"/>
    <w:rsid w:val="007B4C20"/>
    <w:rsid w:val="007B775A"/>
    <w:rsid w:val="007D2FEA"/>
    <w:rsid w:val="007D612B"/>
    <w:rsid w:val="007E12D1"/>
    <w:rsid w:val="007F14BC"/>
    <w:rsid w:val="007F5B7D"/>
    <w:rsid w:val="007F6433"/>
    <w:rsid w:val="00806244"/>
    <w:rsid w:val="0083417C"/>
    <w:rsid w:val="008536C0"/>
    <w:rsid w:val="00854371"/>
    <w:rsid w:val="00864188"/>
    <w:rsid w:val="008651E2"/>
    <w:rsid w:val="00873734"/>
    <w:rsid w:val="00875398"/>
    <w:rsid w:val="00877E1B"/>
    <w:rsid w:val="00885B88"/>
    <w:rsid w:val="00897C5C"/>
    <w:rsid w:val="008A52A7"/>
    <w:rsid w:val="008B1BC1"/>
    <w:rsid w:val="008D50AC"/>
    <w:rsid w:val="008E37D6"/>
    <w:rsid w:val="008F7C5B"/>
    <w:rsid w:val="00911CF0"/>
    <w:rsid w:val="00933526"/>
    <w:rsid w:val="00934DAE"/>
    <w:rsid w:val="00942BC6"/>
    <w:rsid w:val="00942ED0"/>
    <w:rsid w:val="009462D9"/>
    <w:rsid w:val="009478F5"/>
    <w:rsid w:val="009478F7"/>
    <w:rsid w:val="0096603F"/>
    <w:rsid w:val="00974AEF"/>
    <w:rsid w:val="0098480C"/>
    <w:rsid w:val="009966BA"/>
    <w:rsid w:val="009A08D0"/>
    <w:rsid w:val="009A7159"/>
    <w:rsid w:val="009B6F71"/>
    <w:rsid w:val="009C221D"/>
    <w:rsid w:val="009D1A43"/>
    <w:rsid w:val="009E778F"/>
    <w:rsid w:val="009E7D79"/>
    <w:rsid w:val="009F1DF2"/>
    <w:rsid w:val="009F4C0E"/>
    <w:rsid w:val="009F4DF2"/>
    <w:rsid w:val="00A02923"/>
    <w:rsid w:val="00A0435E"/>
    <w:rsid w:val="00A05DC0"/>
    <w:rsid w:val="00A05FA8"/>
    <w:rsid w:val="00A063B9"/>
    <w:rsid w:val="00A07B19"/>
    <w:rsid w:val="00A14F4A"/>
    <w:rsid w:val="00A15408"/>
    <w:rsid w:val="00A20342"/>
    <w:rsid w:val="00A37A19"/>
    <w:rsid w:val="00A40CA1"/>
    <w:rsid w:val="00A50B2D"/>
    <w:rsid w:val="00A6467C"/>
    <w:rsid w:val="00A664F5"/>
    <w:rsid w:val="00A66546"/>
    <w:rsid w:val="00A6699D"/>
    <w:rsid w:val="00A67E4E"/>
    <w:rsid w:val="00A73230"/>
    <w:rsid w:val="00A76523"/>
    <w:rsid w:val="00A80D05"/>
    <w:rsid w:val="00A81BD8"/>
    <w:rsid w:val="00A82F25"/>
    <w:rsid w:val="00AB4A32"/>
    <w:rsid w:val="00AC4A85"/>
    <w:rsid w:val="00AD3714"/>
    <w:rsid w:val="00AD6864"/>
    <w:rsid w:val="00AE12B5"/>
    <w:rsid w:val="00AE176B"/>
    <w:rsid w:val="00AE355E"/>
    <w:rsid w:val="00AF036D"/>
    <w:rsid w:val="00AF5502"/>
    <w:rsid w:val="00AF67D3"/>
    <w:rsid w:val="00B059BA"/>
    <w:rsid w:val="00B268FA"/>
    <w:rsid w:val="00B27F48"/>
    <w:rsid w:val="00B306B1"/>
    <w:rsid w:val="00B33781"/>
    <w:rsid w:val="00B53D22"/>
    <w:rsid w:val="00B548FA"/>
    <w:rsid w:val="00B6177C"/>
    <w:rsid w:val="00B623CF"/>
    <w:rsid w:val="00B760FF"/>
    <w:rsid w:val="00B771C1"/>
    <w:rsid w:val="00B84A69"/>
    <w:rsid w:val="00B851DA"/>
    <w:rsid w:val="00B90C14"/>
    <w:rsid w:val="00B973B7"/>
    <w:rsid w:val="00BA1A9A"/>
    <w:rsid w:val="00BA39DA"/>
    <w:rsid w:val="00BB0FDD"/>
    <w:rsid w:val="00BC76F2"/>
    <w:rsid w:val="00BC78D3"/>
    <w:rsid w:val="00BD1A58"/>
    <w:rsid w:val="00BF0CE3"/>
    <w:rsid w:val="00BF57F1"/>
    <w:rsid w:val="00BF7CB6"/>
    <w:rsid w:val="00C00122"/>
    <w:rsid w:val="00C1103B"/>
    <w:rsid w:val="00C166D4"/>
    <w:rsid w:val="00C2207A"/>
    <w:rsid w:val="00C30EB8"/>
    <w:rsid w:val="00C428C8"/>
    <w:rsid w:val="00C441DE"/>
    <w:rsid w:val="00C50789"/>
    <w:rsid w:val="00C55ACF"/>
    <w:rsid w:val="00C65D31"/>
    <w:rsid w:val="00C67FB2"/>
    <w:rsid w:val="00C755AF"/>
    <w:rsid w:val="00C91B53"/>
    <w:rsid w:val="00CA1F2F"/>
    <w:rsid w:val="00CB16C6"/>
    <w:rsid w:val="00CB52E5"/>
    <w:rsid w:val="00CB5947"/>
    <w:rsid w:val="00CC00FF"/>
    <w:rsid w:val="00CC41B7"/>
    <w:rsid w:val="00CC54A7"/>
    <w:rsid w:val="00CD601A"/>
    <w:rsid w:val="00CD6568"/>
    <w:rsid w:val="00CE19CD"/>
    <w:rsid w:val="00CF020D"/>
    <w:rsid w:val="00D17B3E"/>
    <w:rsid w:val="00D21238"/>
    <w:rsid w:val="00D2490E"/>
    <w:rsid w:val="00D255A3"/>
    <w:rsid w:val="00D25623"/>
    <w:rsid w:val="00D3520A"/>
    <w:rsid w:val="00D36B56"/>
    <w:rsid w:val="00D569A0"/>
    <w:rsid w:val="00D610CB"/>
    <w:rsid w:val="00D633D2"/>
    <w:rsid w:val="00D64079"/>
    <w:rsid w:val="00D648AB"/>
    <w:rsid w:val="00D72A9B"/>
    <w:rsid w:val="00D7373D"/>
    <w:rsid w:val="00D76870"/>
    <w:rsid w:val="00D8374E"/>
    <w:rsid w:val="00D87376"/>
    <w:rsid w:val="00D90BE7"/>
    <w:rsid w:val="00D912E0"/>
    <w:rsid w:val="00D91572"/>
    <w:rsid w:val="00D97E27"/>
    <w:rsid w:val="00DA6177"/>
    <w:rsid w:val="00DB21E5"/>
    <w:rsid w:val="00DB34C8"/>
    <w:rsid w:val="00DC17C1"/>
    <w:rsid w:val="00DE037E"/>
    <w:rsid w:val="00DE4DEF"/>
    <w:rsid w:val="00DE51F8"/>
    <w:rsid w:val="00DF2C62"/>
    <w:rsid w:val="00DF4CEF"/>
    <w:rsid w:val="00E01936"/>
    <w:rsid w:val="00E0279F"/>
    <w:rsid w:val="00E035E7"/>
    <w:rsid w:val="00E234D7"/>
    <w:rsid w:val="00E24053"/>
    <w:rsid w:val="00E3455A"/>
    <w:rsid w:val="00E51984"/>
    <w:rsid w:val="00E55F5E"/>
    <w:rsid w:val="00E5648A"/>
    <w:rsid w:val="00E610D6"/>
    <w:rsid w:val="00E7327E"/>
    <w:rsid w:val="00E739A6"/>
    <w:rsid w:val="00E866AB"/>
    <w:rsid w:val="00E87550"/>
    <w:rsid w:val="00EB2632"/>
    <w:rsid w:val="00EB5684"/>
    <w:rsid w:val="00EC329B"/>
    <w:rsid w:val="00ED72EF"/>
    <w:rsid w:val="00EE0086"/>
    <w:rsid w:val="00EF38FB"/>
    <w:rsid w:val="00F14F6B"/>
    <w:rsid w:val="00F15632"/>
    <w:rsid w:val="00F17007"/>
    <w:rsid w:val="00F26DB9"/>
    <w:rsid w:val="00F40712"/>
    <w:rsid w:val="00F4642D"/>
    <w:rsid w:val="00F646BF"/>
    <w:rsid w:val="00F720F2"/>
    <w:rsid w:val="00F75AEC"/>
    <w:rsid w:val="00F86BDB"/>
    <w:rsid w:val="00F90858"/>
    <w:rsid w:val="00F94A54"/>
    <w:rsid w:val="00F95487"/>
    <w:rsid w:val="00FA0555"/>
    <w:rsid w:val="00FA701C"/>
    <w:rsid w:val="00FB2707"/>
    <w:rsid w:val="00FB64A8"/>
    <w:rsid w:val="00FB76E3"/>
    <w:rsid w:val="00FC32D5"/>
    <w:rsid w:val="00FC4368"/>
    <w:rsid w:val="00FD2BF8"/>
    <w:rsid w:val="00FD547D"/>
    <w:rsid w:val="00FE27D3"/>
    <w:rsid w:val="00FE300B"/>
    <w:rsid w:val="00FF1668"/>
    <w:rsid w:val="00FF2A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C9D671"/>
  <w15:docId w15:val="{53098720-4E8D-4207-8458-8F51D84A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115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E115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E115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E115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E115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E115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E115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E115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E115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0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015"/>
    <w:rPr>
      <w:rFonts w:ascii="Tahoma" w:hAnsi="Tahoma" w:cs="Tahoma"/>
      <w:sz w:val="16"/>
      <w:szCs w:val="16"/>
    </w:rPr>
  </w:style>
  <w:style w:type="paragraph" w:styleId="Paragraphedeliste">
    <w:name w:val="List Paragraph"/>
    <w:basedOn w:val="Normal"/>
    <w:uiPriority w:val="34"/>
    <w:qFormat/>
    <w:rsid w:val="001A1015"/>
    <w:pPr>
      <w:ind w:left="720"/>
      <w:contextualSpacing/>
    </w:pPr>
  </w:style>
  <w:style w:type="character" w:styleId="lev">
    <w:name w:val="Strong"/>
    <w:uiPriority w:val="22"/>
    <w:qFormat/>
    <w:rsid w:val="00A50B2D"/>
    <w:rPr>
      <w:b/>
      <w:bCs/>
    </w:rPr>
  </w:style>
  <w:style w:type="paragraph" w:styleId="Pieddepage">
    <w:name w:val="footer"/>
    <w:basedOn w:val="Normal"/>
    <w:link w:val="PieddepageCar"/>
    <w:uiPriority w:val="99"/>
    <w:rsid w:val="00A50B2D"/>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A50B2D"/>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3F653A"/>
    <w:pPr>
      <w:tabs>
        <w:tab w:val="center" w:pos="4536"/>
        <w:tab w:val="right" w:pos="9072"/>
      </w:tabs>
      <w:spacing w:after="0" w:line="240" w:lineRule="auto"/>
    </w:pPr>
  </w:style>
  <w:style w:type="character" w:customStyle="1" w:styleId="En-tteCar">
    <w:name w:val="En-tête Car"/>
    <w:basedOn w:val="Policepardfaut"/>
    <w:link w:val="En-tte"/>
    <w:uiPriority w:val="99"/>
    <w:rsid w:val="003F653A"/>
  </w:style>
  <w:style w:type="character" w:customStyle="1" w:styleId="Titre1Car">
    <w:name w:val="Titre 1 Car"/>
    <w:basedOn w:val="Policepardfaut"/>
    <w:link w:val="Titre1"/>
    <w:uiPriority w:val="9"/>
    <w:rsid w:val="001E115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E115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E115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E115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1E115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1E115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1E115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E115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E1152"/>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250C9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141950"/>
    <w:pPr>
      <w:autoSpaceDE w:val="0"/>
      <w:autoSpaceDN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B27F48"/>
    <w:rPr>
      <w:i/>
      <w:iCs/>
    </w:rPr>
  </w:style>
  <w:style w:type="character" w:customStyle="1" w:styleId="titrecontenu">
    <w:name w:val="titrecontenu"/>
    <w:basedOn w:val="Policepardfaut"/>
    <w:rsid w:val="00BF0CE3"/>
  </w:style>
  <w:style w:type="paragraph" w:customStyle="1" w:styleId="infopublication">
    <w:name w:val="info_publication"/>
    <w:basedOn w:val="Normal"/>
    <w:rsid w:val="00BF0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BF0CE3"/>
  </w:style>
  <w:style w:type="paragraph" w:customStyle="1" w:styleId="accroche">
    <w:name w:val="accroche"/>
    <w:basedOn w:val="Normal"/>
    <w:rsid w:val="00BF0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F0CE3"/>
    <w:rPr>
      <w:color w:val="0000FF"/>
      <w:u w:val="single"/>
    </w:rPr>
  </w:style>
  <w:style w:type="paragraph" w:customStyle="1" w:styleId="hautdepage">
    <w:name w:val="hautdepage"/>
    <w:basedOn w:val="Normal"/>
    <w:rsid w:val="00BF0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D50AC"/>
    <w:rPr>
      <w:color w:val="605E5C"/>
      <w:shd w:val="clear" w:color="auto" w:fill="E1DFDD"/>
    </w:rPr>
  </w:style>
  <w:style w:type="character" w:styleId="Marquedecommentaire">
    <w:name w:val="annotation reference"/>
    <w:basedOn w:val="Policepardfaut"/>
    <w:uiPriority w:val="99"/>
    <w:semiHidden/>
    <w:unhideWhenUsed/>
    <w:rsid w:val="00410315"/>
    <w:rPr>
      <w:sz w:val="16"/>
      <w:szCs w:val="16"/>
    </w:rPr>
  </w:style>
  <w:style w:type="paragraph" w:styleId="Commentaire">
    <w:name w:val="annotation text"/>
    <w:basedOn w:val="Normal"/>
    <w:link w:val="CommentaireCar"/>
    <w:uiPriority w:val="99"/>
    <w:semiHidden/>
    <w:unhideWhenUsed/>
    <w:rsid w:val="00410315"/>
    <w:pPr>
      <w:spacing w:line="240" w:lineRule="auto"/>
    </w:pPr>
    <w:rPr>
      <w:sz w:val="20"/>
      <w:szCs w:val="20"/>
    </w:rPr>
  </w:style>
  <w:style w:type="character" w:customStyle="1" w:styleId="CommentaireCar">
    <w:name w:val="Commentaire Car"/>
    <w:basedOn w:val="Policepardfaut"/>
    <w:link w:val="Commentaire"/>
    <w:uiPriority w:val="99"/>
    <w:semiHidden/>
    <w:rsid w:val="00410315"/>
    <w:rPr>
      <w:sz w:val="20"/>
      <w:szCs w:val="20"/>
    </w:rPr>
  </w:style>
  <w:style w:type="paragraph" w:styleId="Objetducommentaire">
    <w:name w:val="annotation subject"/>
    <w:basedOn w:val="Commentaire"/>
    <w:next w:val="Commentaire"/>
    <w:link w:val="ObjetducommentaireCar"/>
    <w:uiPriority w:val="99"/>
    <w:semiHidden/>
    <w:unhideWhenUsed/>
    <w:rsid w:val="00410315"/>
    <w:rPr>
      <w:b/>
      <w:bCs/>
    </w:rPr>
  </w:style>
  <w:style w:type="character" w:customStyle="1" w:styleId="ObjetducommentaireCar">
    <w:name w:val="Objet du commentaire Car"/>
    <w:basedOn w:val="CommentaireCar"/>
    <w:link w:val="Objetducommentaire"/>
    <w:uiPriority w:val="99"/>
    <w:semiHidden/>
    <w:rsid w:val="004103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65">
      <w:bodyDiv w:val="1"/>
      <w:marLeft w:val="0"/>
      <w:marRight w:val="0"/>
      <w:marTop w:val="0"/>
      <w:marBottom w:val="0"/>
      <w:divBdr>
        <w:top w:val="none" w:sz="0" w:space="0" w:color="auto"/>
        <w:left w:val="none" w:sz="0" w:space="0" w:color="auto"/>
        <w:bottom w:val="none" w:sz="0" w:space="0" w:color="auto"/>
        <w:right w:val="none" w:sz="0" w:space="0" w:color="auto"/>
      </w:divBdr>
    </w:div>
    <w:div w:id="5451172">
      <w:bodyDiv w:val="1"/>
      <w:marLeft w:val="0"/>
      <w:marRight w:val="0"/>
      <w:marTop w:val="0"/>
      <w:marBottom w:val="0"/>
      <w:divBdr>
        <w:top w:val="none" w:sz="0" w:space="0" w:color="auto"/>
        <w:left w:val="none" w:sz="0" w:space="0" w:color="auto"/>
        <w:bottom w:val="none" w:sz="0" w:space="0" w:color="auto"/>
        <w:right w:val="none" w:sz="0" w:space="0" w:color="auto"/>
      </w:divBdr>
    </w:div>
    <w:div w:id="27683903">
      <w:bodyDiv w:val="1"/>
      <w:marLeft w:val="0"/>
      <w:marRight w:val="0"/>
      <w:marTop w:val="0"/>
      <w:marBottom w:val="0"/>
      <w:divBdr>
        <w:top w:val="none" w:sz="0" w:space="0" w:color="auto"/>
        <w:left w:val="none" w:sz="0" w:space="0" w:color="auto"/>
        <w:bottom w:val="none" w:sz="0" w:space="0" w:color="auto"/>
        <w:right w:val="none" w:sz="0" w:space="0" w:color="auto"/>
      </w:divBdr>
    </w:div>
    <w:div w:id="85276192">
      <w:bodyDiv w:val="1"/>
      <w:marLeft w:val="0"/>
      <w:marRight w:val="0"/>
      <w:marTop w:val="0"/>
      <w:marBottom w:val="0"/>
      <w:divBdr>
        <w:top w:val="none" w:sz="0" w:space="0" w:color="auto"/>
        <w:left w:val="none" w:sz="0" w:space="0" w:color="auto"/>
        <w:bottom w:val="none" w:sz="0" w:space="0" w:color="auto"/>
        <w:right w:val="none" w:sz="0" w:space="0" w:color="auto"/>
      </w:divBdr>
      <w:divsChild>
        <w:div w:id="2075883191">
          <w:marLeft w:val="0"/>
          <w:marRight w:val="0"/>
          <w:marTop w:val="0"/>
          <w:marBottom w:val="0"/>
          <w:divBdr>
            <w:top w:val="none" w:sz="0" w:space="0" w:color="auto"/>
            <w:left w:val="none" w:sz="0" w:space="0" w:color="auto"/>
            <w:bottom w:val="none" w:sz="0" w:space="0" w:color="auto"/>
            <w:right w:val="none" w:sz="0" w:space="0" w:color="auto"/>
          </w:divBdr>
        </w:div>
      </w:divsChild>
    </w:div>
    <w:div w:id="144057410">
      <w:bodyDiv w:val="1"/>
      <w:marLeft w:val="0"/>
      <w:marRight w:val="0"/>
      <w:marTop w:val="0"/>
      <w:marBottom w:val="0"/>
      <w:divBdr>
        <w:top w:val="none" w:sz="0" w:space="0" w:color="auto"/>
        <w:left w:val="none" w:sz="0" w:space="0" w:color="auto"/>
        <w:bottom w:val="none" w:sz="0" w:space="0" w:color="auto"/>
        <w:right w:val="none" w:sz="0" w:space="0" w:color="auto"/>
      </w:divBdr>
    </w:div>
    <w:div w:id="150877152">
      <w:bodyDiv w:val="1"/>
      <w:marLeft w:val="0"/>
      <w:marRight w:val="0"/>
      <w:marTop w:val="0"/>
      <w:marBottom w:val="0"/>
      <w:divBdr>
        <w:top w:val="none" w:sz="0" w:space="0" w:color="auto"/>
        <w:left w:val="none" w:sz="0" w:space="0" w:color="auto"/>
        <w:bottom w:val="none" w:sz="0" w:space="0" w:color="auto"/>
        <w:right w:val="none" w:sz="0" w:space="0" w:color="auto"/>
      </w:divBdr>
    </w:div>
    <w:div w:id="158271170">
      <w:bodyDiv w:val="1"/>
      <w:marLeft w:val="0"/>
      <w:marRight w:val="0"/>
      <w:marTop w:val="0"/>
      <w:marBottom w:val="0"/>
      <w:divBdr>
        <w:top w:val="none" w:sz="0" w:space="0" w:color="auto"/>
        <w:left w:val="none" w:sz="0" w:space="0" w:color="auto"/>
        <w:bottom w:val="none" w:sz="0" w:space="0" w:color="auto"/>
        <w:right w:val="none" w:sz="0" w:space="0" w:color="auto"/>
      </w:divBdr>
    </w:div>
    <w:div w:id="176578844">
      <w:bodyDiv w:val="1"/>
      <w:marLeft w:val="0"/>
      <w:marRight w:val="0"/>
      <w:marTop w:val="0"/>
      <w:marBottom w:val="0"/>
      <w:divBdr>
        <w:top w:val="none" w:sz="0" w:space="0" w:color="auto"/>
        <w:left w:val="none" w:sz="0" w:space="0" w:color="auto"/>
        <w:bottom w:val="none" w:sz="0" w:space="0" w:color="auto"/>
        <w:right w:val="none" w:sz="0" w:space="0" w:color="auto"/>
      </w:divBdr>
    </w:div>
    <w:div w:id="177163192">
      <w:bodyDiv w:val="1"/>
      <w:marLeft w:val="0"/>
      <w:marRight w:val="0"/>
      <w:marTop w:val="0"/>
      <w:marBottom w:val="0"/>
      <w:divBdr>
        <w:top w:val="none" w:sz="0" w:space="0" w:color="auto"/>
        <w:left w:val="none" w:sz="0" w:space="0" w:color="auto"/>
        <w:bottom w:val="none" w:sz="0" w:space="0" w:color="auto"/>
        <w:right w:val="none" w:sz="0" w:space="0" w:color="auto"/>
      </w:divBdr>
    </w:div>
    <w:div w:id="193462777">
      <w:bodyDiv w:val="1"/>
      <w:marLeft w:val="0"/>
      <w:marRight w:val="0"/>
      <w:marTop w:val="0"/>
      <w:marBottom w:val="0"/>
      <w:divBdr>
        <w:top w:val="none" w:sz="0" w:space="0" w:color="auto"/>
        <w:left w:val="none" w:sz="0" w:space="0" w:color="auto"/>
        <w:bottom w:val="none" w:sz="0" w:space="0" w:color="auto"/>
        <w:right w:val="none" w:sz="0" w:space="0" w:color="auto"/>
      </w:divBdr>
    </w:div>
    <w:div w:id="249310712">
      <w:bodyDiv w:val="1"/>
      <w:marLeft w:val="0"/>
      <w:marRight w:val="0"/>
      <w:marTop w:val="0"/>
      <w:marBottom w:val="0"/>
      <w:divBdr>
        <w:top w:val="none" w:sz="0" w:space="0" w:color="auto"/>
        <w:left w:val="none" w:sz="0" w:space="0" w:color="auto"/>
        <w:bottom w:val="none" w:sz="0" w:space="0" w:color="auto"/>
        <w:right w:val="none" w:sz="0" w:space="0" w:color="auto"/>
      </w:divBdr>
      <w:divsChild>
        <w:div w:id="653224678">
          <w:marLeft w:val="0"/>
          <w:marRight w:val="0"/>
          <w:marTop w:val="0"/>
          <w:marBottom w:val="0"/>
          <w:divBdr>
            <w:top w:val="none" w:sz="0" w:space="0" w:color="auto"/>
            <w:left w:val="none" w:sz="0" w:space="0" w:color="auto"/>
            <w:bottom w:val="none" w:sz="0" w:space="0" w:color="auto"/>
            <w:right w:val="none" w:sz="0" w:space="0" w:color="auto"/>
          </w:divBdr>
          <w:divsChild>
            <w:div w:id="1707637429">
              <w:marLeft w:val="0"/>
              <w:marRight w:val="0"/>
              <w:marTop w:val="0"/>
              <w:marBottom w:val="0"/>
              <w:divBdr>
                <w:top w:val="none" w:sz="0" w:space="0" w:color="auto"/>
                <w:left w:val="none" w:sz="0" w:space="0" w:color="auto"/>
                <w:bottom w:val="none" w:sz="0" w:space="0" w:color="auto"/>
                <w:right w:val="none" w:sz="0" w:space="0" w:color="auto"/>
              </w:divBdr>
              <w:divsChild>
                <w:div w:id="1670870197">
                  <w:marLeft w:val="0"/>
                  <w:marRight w:val="0"/>
                  <w:marTop w:val="0"/>
                  <w:marBottom w:val="0"/>
                  <w:divBdr>
                    <w:top w:val="none" w:sz="0" w:space="0" w:color="auto"/>
                    <w:left w:val="none" w:sz="0" w:space="0" w:color="auto"/>
                    <w:bottom w:val="none" w:sz="0" w:space="0" w:color="auto"/>
                    <w:right w:val="none" w:sz="0" w:space="0" w:color="auto"/>
                  </w:divBdr>
                  <w:divsChild>
                    <w:div w:id="539322381">
                      <w:marLeft w:val="0"/>
                      <w:marRight w:val="0"/>
                      <w:marTop w:val="0"/>
                      <w:marBottom w:val="0"/>
                      <w:divBdr>
                        <w:top w:val="none" w:sz="0" w:space="0" w:color="auto"/>
                        <w:left w:val="none" w:sz="0" w:space="0" w:color="auto"/>
                        <w:bottom w:val="none" w:sz="0" w:space="0" w:color="auto"/>
                        <w:right w:val="none" w:sz="0" w:space="0" w:color="auto"/>
                      </w:divBdr>
                      <w:divsChild>
                        <w:div w:id="1468039098">
                          <w:marLeft w:val="0"/>
                          <w:marRight w:val="0"/>
                          <w:marTop w:val="0"/>
                          <w:marBottom w:val="0"/>
                          <w:divBdr>
                            <w:top w:val="none" w:sz="0" w:space="0" w:color="auto"/>
                            <w:left w:val="none" w:sz="0" w:space="0" w:color="auto"/>
                            <w:bottom w:val="none" w:sz="0" w:space="0" w:color="auto"/>
                            <w:right w:val="none" w:sz="0" w:space="0" w:color="auto"/>
                          </w:divBdr>
                          <w:divsChild>
                            <w:div w:id="1002243531">
                              <w:marLeft w:val="0"/>
                              <w:marRight w:val="0"/>
                              <w:marTop w:val="0"/>
                              <w:marBottom w:val="0"/>
                              <w:divBdr>
                                <w:top w:val="none" w:sz="0" w:space="0" w:color="auto"/>
                                <w:left w:val="none" w:sz="0" w:space="0" w:color="auto"/>
                                <w:bottom w:val="none" w:sz="0" w:space="0" w:color="auto"/>
                                <w:right w:val="none" w:sz="0" w:space="0" w:color="auto"/>
                              </w:divBdr>
                              <w:divsChild>
                                <w:div w:id="656348647">
                                  <w:marLeft w:val="-225"/>
                                  <w:marRight w:val="-225"/>
                                  <w:marTop w:val="0"/>
                                  <w:marBottom w:val="0"/>
                                  <w:divBdr>
                                    <w:top w:val="none" w:sz="0" w:space="0" w:color="auto"/>
                                    <w:left w:val="none" w:sz="0" w:space="0" w:color="auto"/>
                                    <w:bottom w:val="none" w:sz="0" w:space="0" w:color="auto"/>
                                    <w:right w:val="none" w:sz="0" w:space="0" w:color="auto"/>
                                  </w:divBdr>
                                  <w:divsChild>
                                    <w:div w:id="15128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357596">
      <w:bodyDiv w:val="1"/>
      <w:marLeft w:val="0"/>
      <w:marRight w:val="0"/>
      <w:marTop w:val="0"/>
      <w:marBottom w:val="0"/>
      <w:divBdr>
        <w:top w:val="none" w:sz="0" w:space="0" w:color="auto"/>
        <w:left w:val="none" w:sz="0" w:space="0" w:color="auto"/>
        <w:bottom w:val="none" w:sz="0" w:space="0" w:color="auto"/>
        <w:right w:val="none" w:sz="0" w:space="0" w:color="auto"/>
      </w:divBdr>
    </w:div>
    <w:div w:id="394472728">
      <w:bodyDiv w:val="1"/>
      <w:marLeft w:val="0"/>
      <w:marRight w:val="0"/>
      <w:marTop w:val="0"/>
      <w:marBottom w:val="0"/>
      <w:divBdr>
        <w:top w:val="none" w:sz="0" w:space="0" w:color="auto"/>
        <w:left w:val="none" w:sz="0" w:space="0" w:color="auto"/>
        <w:bottom w:val="none" w:sz="0" w:space="0" w:color="auto"/>
        <w:right w:val="none" w:sz="0" w:space="0" w:color="auto"/>
      </w:divBdr>
    </w:div>
    <w:div w:id="422920839">
      <w:bodyDiv w:val="1"/>
      <w:marLeft w:val="0"/>
      <w:marRight w:val="0"/>
      <w:marTop w:val="0"/>
      <w:marBottom w:val="0"/>
      <w:divBdr>
        <w:top w:val="none" w:sz="0" w:space="0" w:color="auto"/>
        <w:left w:val="none" w:sz="0" w:space="0" w:color="auto"/>
        <w:bottom w:val="none" w:sz="0" w:space="0" w:color="auto"/>
        <w:right w:val="none" w:sz="0" w:space="0" w:color="auto"/>
      </w:divBdr>
      <w:divsChild>
        <w:div w:id="1615596482">
          <w:marLeft w:val="0"/>
          <w:marRight w:val="0"/>
          <w:marTop w:val="0"/>
          <w:marBottom w:val="0"/>
          <w:divBdr>
            <w:top w:val="none" w:sz="0" w:space="0" w:color="auto"/>
            <w:left w:val="none" w:sz="0" w:space="0" w:color="auto"/>
            <w:bottom w:val="none" w:sz="0" w:space="0" w:color="auto"/>
            <w:right w:val="none" w:sz="0" w:space="0" w:color="auto"/>
          </w:divBdr>
        </w:div>
      </w:divsChild>
    </w:div>
    <w:div w:id="509947332">
      <w:bodyDiv w:val="1"/>
      <w:marLeft w:val="0"/>
      <w:marRight w:val="0"/>
      <w:marTop w:val="0"/>
      <w:marBottom w:val="0"/>
      <w:divBdr>
        <w:top w:val="none" w:sz="0" w:space="0" w:color="auto"/>
        <w:left w:val="none" w:sz="0" w:space="0" w:color="auto"/>
        <w:bottom w:val="none" w:sz="0" w:space="0" w:color="auto"/>
        <w:right w:val="none" w:sz="0" w:space="0" w:color="auto"/>
      </w:divBdr>
    </w:div>
    <w:div w:id="566185549">
      <w:bodyDiv w:val="1"/>
      <w:marLeft w:val="0"/>
      <w:marRight w:val="0"/>
      <w:marTop w:val="0"/>
      <w:marBottom w:val="0"/>
      <w:divBdr>
        <w:top w:val="none" w:sz="0" w:space="0" w:color="auto"/>
        <w:left w:val="none" w:sz="0" w:space="0" w:color="auto"/>
        <w:bottom w:val="none" w:sz="0" w:space="0" w:color="auto"/>
        <w:right w:val="none" w:sz="0" w:space="0" w:color="auto"/>
      </w:divBdr>
    </w:div>
    <w:div w:id="584724460">
      <w:bodyDiv w:val="1"/>
      <w:marLeft w:val="0"/>
      <w:marRight w:val="0"/>
      <w:marTop w:val="0"/>
      <w:marBottom w:val="0"/>
      <w:divBdr>
        <w:top w:val="none" w:sz="0" w:space="0" w:color="auto"/>
        <w:left w:val="none" w:sz="0" w:space="0" w:color="auto"/>
        <w:bottom w:val="none" w:sz="0" w:space="0" w:color="auto"/>
        <w:right w:val="none" w:sz="0" w:space="0" w:color="auto"/>
      </w:divBdr>
    </w:div>
    <w:div w:id="602611144">
      <w:bodyDiv w:val="1"/>
      <w:marLeft w:val="0"/>
      <w:marRight w:val="0"/>
      <w:marTop w:val="0"/>
      <w:marBottom w:val="0"/>
      <w:divBdr>
        <w:top w:val="none" w:sz="0" w:space="0" w:color="auto"/>
        <w:left w:val="none" w:sz="0" w:space="0" w:color="auto"/>
        <w:bottom w:val="none" w:sz="0" w:space="0" w:color="auto"/>
        <w:right w:val="none" w:sz="0" w:space="0" w:color="auto"/>
      </w:divBdr>
    </w:div>
    <w:div w:id="620065368">
      <w:bodyDiv w:val="1"/>
      <w:marLeft w:val="0"/>
      <w:marRight w:val="0"/>
      <w:marTop w:val="0"/>
      <w:marBottom w:val="0"/>
      <w:divBdr>
        <w:top w:val="none" w:sz="0" w:space="0" w:color="auto"/>
        <w:left w:val="none" w:sz="0" w:space="0" w:color="auto"/>
        <w:bottom w:val="none" w:sz="0" w:space="0" w:color="auto"/>
        <w:right w:val="none" w:sz="0" w:space="0" w:color="auto"/>
      </w:divBdr>
    </w:div>
    <w:div w:id="840974535">
      <w:bodyDiv w:val="1"/>
      <w:marLeft w:val="0"/>
      <w:marRight w:val="0"/>
      <w:marTop w:val="0"/>
      <w:marBottom w:val="0"/>
      <w:divBdr>
        <w:top w:val="none" w:sz="0" w:space="0" w:color="auto"/>
        <w:left w:val="none" w:sz="0" w:space="0" w:color="auto"/>
        <w:bottom w:val="none" w:sz="0" w:space="0" w:color="auto"/>
        <w:right w:val="none" w:sz="0" w:space="0" w:color="auto"/>
      </w:divBdr>
    </w:div>
    <w:div w:id="859855956">
      <w:bodyDiv w:val="1"/>
      <w:marLeft w:val="0"/>
      <w:marRight w:val="0"/>
      <w:marTop w:val="0"/>
      <w:marBottom w:val="0"/>
      <w:divBdr>
        <w:top w:val="none" w:sz="0" w:space="0" w:color="auto"/>
        <w:left w:val="none" w:sz="0" w:space="0" w:color="auto"/>
        <w:bottom w:val="none" w:sz="0" w:space="0" w:color="auto"/>
        <w:right w:val="none" w:sz="0" w:space="0" w:color="auto"/>
      </w:divBdr>
    </w:div>
    <w:div w:id="923760922">
      <w:bodyDiv w:val="1"/>
      <w:marLeft w:val="0"/>
      <w:marRight w:val="0"/>
      <w:marTop w:val="0"/>
      <w:marBottom w:val="0"/>
      <w:divBdr>
        <w:top w:val="none" w:sz="0" w:space="0" w:color="auto"/>
        <w:left w:val="none" w:sz="0" w:space="0" w:color="auto"/>
        <w:bottom w:val="none" w:sz="0" w:space="0" w:color="auto"/>
        <w:right w:val="none" w:sz="0" w:space="0" w:color="auto"/>
      </w:divBdr>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
    <w:div w:id="1075737669">
      <w:bodyDiv w:val="1"/>
      <w:marLeft w:val="0"/>
      <w:marRight w:val="0"/>
      <w:marTop w:val="0"/>
      <w:marBottom w:val="0"/>
      <w:divBdr>
        <w:top w:val="none" w:sz="0" w:space="0" w:color="auto"/>
        <w:left w:val="none" w:sz="0" w:space="0" w:color="auto"/>
        <w:bottom w:val="none" w:sz="0" w:space="0" w:color="auto"/>
        <w:right w:val="none" w:sz="0" w:space="0" w:color="auto"/>
      </w:divBdr>
    </w:div>
    <w:div w:id="1154375445">
      <w:bodyDiv w:val="1"/>
      <w:marLeft w:val="0"/>
      <w:marRight w:val="0"/>
      <w:marTop w:val="0"/>
      <w:marBottom w:val="0"/>
      <w:divBdr>
        <w:top w:val="none" w:sz="0" w:space="0" w:color="auto"/>
        <w:left w:val="none" w:sz="0" w:space="0" w:color="auto"/>
        <w:bottom w:val="none" w:sz="0" w:space="0" w:color="auto"/>
        <w:right w:val="none" w:sz="0" w:space="0" w:color="auto"/>
      </w:divBdr>
    </w:div>
    <w:div w:id="1160848958">
      <w:bodyDiv w:val="1"/>
      <w:marLeft w:val="0"/>
      <w:marRight w:val="0"/>
      <w:marTop w:val="0"/>
      <w:marBottom w:val="0"/>
      <w:divBdr>
        <w:top w:val="none" w:sz="0" w:space="0" w:color="auto"/>
        <w:left w:val="none" w:sz="0" w:space="0" w:color="auto"/>
        <w:bottom w:val="none" w:sz="0" w:space="0" w:color="auto"/>
        <w:right w:val="none" w:sz="0" w:space="0" w:color="auto"/>
      </w:divBdr>
    </w:div>
    <w:div w:id="1373381803">
      <w:bodyDiv w:val="1"/>
      <w:marLeft w:val="0"/>
      <w:marRight w:val="0"/>
      <w:marTop w:val="0"/>
      <w:marBottom w:val="0"/>
      <w:divBdr>
        <w:top w:val="none" w:sz="0" w:space="0" w:color="auto"/>
        <w:left w:val="none" w:sz="0" w:space="0" w:color="auto"/>
        <w:bottom w:val="none" w:sz="0" w:space="0" w:color="auto"/>
        <w:right w:val="none" w:sz="0" w:space="0" w:color="auto"/>
      </w:divBdr>
    </w:div>
    <w:div w:id="1395813722">
      <w:bodyDiv w:val="1"/>
      <w:marLeft w:val="0"/>
      <w:marRight w:val="0"/>
      <w:marTop w:val="0"/>
      <w:marBottom w:val="0"/>
      <w:divBdr>
        <w:top w:val="none" w:sz="0" w:space="0" w:color="auto"/>
        <w:left w:val="none" w:sz="0" w:space="0" w:color="auto"/>
        <w:bottom w:val="none" w:sz="0" w:space="0" w:color="auto"/>
        <w:right w:val="none" w:sz="0" w:space="0" w:color="auto"/>
      </w:divBdr>
    </w:div>
    <w:div w:id="1444883511">
      <w:bodyDiv w:val="1"/>
      <w:marLeft w:val="0"/>
      <w:marRight w:val="0"/>
      <w:marTop w:val="0"/>
      <w:marBottom w:val="0"/>
      <w:divBdr>
        <w:top w:val="none" w:sz="0" w:space="0" w:color="auto"/>
        <w:left w:val="none" w:sz="0" w:space="0" w:color="auto"/>
        <w:bottom w:val="none" w:sz="0" w:space="0" w:color="auto"/>
        <w:right w:val="none" w:sz="0" w:space="0" w:color="auto"/>
      </w:divBdr>
      <w:divsChild>
        <w:div w:id="1531996203">
          <w:marLeft w:val="0"/>
          <w:marRight w:val="0"/>
          <w:marTop w:val="0"/>
          <w:marBottom w:val="0"/>
          <w:divBdr>
            <w:top w:val="none" w:sz="0" w:space="0" w:color="auto"/>
            <w:left w:val="none" w:sz="0" w:space="0" w:color="auto"/>
            <w:bottom w:val="none" w:sz="0" w:space="0" w:color="auto"/>
            <w:right w:val="none" w:sz="0" w:space="0" w:color="auto"/>
          </w:divBdr>
          <w:divsChild>
            <w:div w:id="834882327">
              <w:marLeft w:val="0"/>
              <w:marRight w:val="0"/>
              <w:marTop w:val="0"/>
              <w:marBottom w:val="0"/>
              <w:divBdr>
                <w:top w:val="none" w:sz="0" w:space="0" w:color="auto"/>
                <w:left w:val="none" w:sz="0" w:space="0" w:color="auto"/>
                <w:bottom w:val="none" w:sz="0" w:space="0" w:color="auto"/>
                <w:right w:val="none" w:sz="0" w:space="0" w:color="auto"/>
              </w:divBdr>
              <w:divsChild>
                <w:div w:id="1831403564">
                  <w:marLeft w:val="0"/>
                  <w:marRight w:val="0"/>
                  <w:marTop w:val="0"/>
                  <w:marBottom w:val="0"/>
                  <w:divBdr>
                    <w:top w:val="none" w:sz="0" w:space="0" w:color="auto"/>
                    <w:left w:val="none" w:sz="0" w:space="0" w:color="auto"/>
                    <w:bottom w:val="none" w:sz="0" w:space="0" w:color="auto"/>
                    <w:right w:val="none" w:sz="0" w:space="0" w:color="auto"/>
                  </w:divBdr>
                  <w:divsChild>
                    <w:div w:id="305742472">
                      <w:marLeft w:val="0"/>
                      <w:marRight w:val="0"/>
                      <w:marTop w:val="0"/>
                      <w:marBottom w:val="0"/>
                      <w:divBdr>
                        <w:top w:val="none" w:sz="0" w:space="0" w:color="auto"/>
                        <w:left w:val="none" w:sz="0" w:space="0" w:color="auto"/>
                        <w:bottom w:val="none" w:sz="0" w:space="0" w:color="auto"/>
                        <w:right w:val="none" w:sz="0" w:space="0" w:color="auto"/>
                      </w:divBdr>
                      <w:divsChild>
                        <w:div w:id="2090031614">
                          <w:marLeft w:val="0"/>
                          <w:marRight w:val="0"/>
                          <w:marTop w:val="0"/>
                          <w:marBottom w:val="0"/>
                          <w:divBdr>
                            <w:top w:val="none" w:sz="0" w:space="0" w:color="auto"/>
                            <w:left w:val="none" w:sz="0" w:space="0" w:color="auto"/>
                            <w:bottom w:val="none" w:sz="0" w:space="0" w:color="auto"/>
                            <w:right w:val="none" w:sz="0" w:space="0" w:color="auto"/>
                          </w:divBdr>
                          <w:divsChild>
                            <w:div w:id="467668803">
                              <w:marLeft w:val="0"/>
                              <w:marRight w:val="0"/>
                              <w:marTop w:val="0"/>
                              <w:marBottom w:val="0"/>
                              <w:divBdr>
                                <w:top w:val="none" w:sz="0" w:space="0" w:color="auto"/>
                                <w:left w:val="none" w:sz="0" w:space="0" w:color="auto"/>
                                <w:bottom w:val="none" w:sz="0" w:space="0" w:color="auto"/>
                                <w:right w:val="none" w:sz="0" w:space="0" w:color="auto"/>
                              </w:divBdr>
                              <w:divsChild>
                                <w:div w:id="2145928641">
                                  <w:marLeft w:val="0"/>
                                  <w:marRight w:val="0"/>
                                  <w:marTop w:val="0"/>
                                  <w:marBottom w:val="0"/>
                                  <w:divBdr>
                                    <w:top w:val="none" w:sz="0" w:space="0" w:color="auto"/>
                                    <w:left w:val="none" w:sz="0" w:space="0" w:color="auto"/>
                                    <w:bottom w:val="none" w:sz="0" w:space="0" w:color="auto"/>
                                    <w:right w:val="none" w:sz="0" w:space="0" w:color="auto"/>
                                  </w:divBdr>
                                  <w:divsChild>
                                    <w:div w:id="1712873816">
                                      <w:marLeft w:val="0"/>
                                      <w:marRight w:val="0"/>
                                      <w:marTop w:val="0"/>
                                      <w:marBottom w:val="0"/>
                                      <w:divBdr>
                                        <w:top w:val="none" w:sz="0" w:space="0" w:color="auto"/>
                                        <w:left w:val="none" w:sz="0" w:space="0" w:color="auto"/>
                                        <w:bottom w:val="none" w:sz="0" w:space="0" w:color="auto"/>
                                        <w:right w:val="none" w:sz="0" w:space="0" w:color="auto"/>
                                      </w:divBdr>
                                      <w:divsChild>
                                        <w:div w:id="1125004159">
                                          <w:marLeft w:val="0"/>
                                          <w:marRight w:val="0"/>
                                          <w:marTop w:val="0"/>
                                          <w:marBottom w:val="0"/>
                                          <w:divBdr>
                                            <w:top w:val="none" w:sz="0" w:space="0" w:color="auto"/>
                                            <w:left w:val="none" w:sz="0" w:space="0" w:color="auto"/>
                                            <w:bottom w:val="none" w:sz="0" w:space="0" w:color="auto"/>
                                            <w:right w:val="none" w:sz="0" w:space="0" w:color="auto"/>
                                          </w:divBdr>
                                        </w:div>
                                        <w:div w:id="1508135218">
                                          <w:marLeft w:val="0"/>
                                          <w:marRight w:val="0"/>
                                          <w:marTop w:val="0"/>
                                          <w:marBottom w:val="0"/>
                                          <w:divBdr>
                                            <w:top w:val="none" w:sz="0" w:space="0" w:color="auto"/>
                                            <w:left w:val="none" w:sz="0" w:space="0" w:color="auto"/>
                                            <w:bottom w:val="none" w:sz="0" w:space="0" w:color="auto"/>
                                            <w:right w:val="none" w:sz="0" w:space="0" w:color="auto"/>
                                          </w:divBdr>
                                        </w:div>
                                        <w:div w:id="310134622">
                                          <w:marLeft w:val="0"/>
                                          <w:marRight w:val="0"/>
                                          <w:marTop w:val="0"/>
                                          <w:marBottom w:val="0"/>
                                          <w:divBdr>
                                            <w:top w:val="none" w:sz="0" w:space="0" w:color="auto"/>
                                            <w:left w:val="none" w:sz="0" w:space="0" w:color="auto"/>
                                            <w:bottom w:val="none" w:sz="0" w:space="0" w:color="auto"/>
                                            <w:right w:val="none" w:sz="0" w:space="0" w:color="auto"/>
                                          </w:divBdr>
                                        </w:div>
                                        <w:div w:id="14766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938831">
      <w:bodyDiv w:val="1"/>
      <w:marLeft w:val="0"/>
      <w:marRight w:val="0"/>
      <w:marTop w:val="0"/>
      <w:marBottom w:val="0"/>
      <w:divBdr>
        <w:top w:val="none" w:sz="0" w:space="0" w:color="auto"/>
        <w:left w:val="none" w:sz="0" w:space="0" w:color="auto"/>
        <w:bottom w:val="none" w:sz="0" w:space="0" w:color="auto"/>
        <w:right w:val="none" w:sz="0" w:space="0" w:color="auto"/>
      </w:divBdr>
    </w:div>
    <w:div w:id="1606688408">
      <w:bodyDiv w:val="1"/>
      <w:marLeft w:val="0"/>
      <w:marRight w:val="0"/>
      <w:marTop w:val="0"/>
      <w:marBottom w:val="0"/>
      <w:divBdr>
        <w:top w:val="none" w:sz="0" w:space="0" w:color="auto"/>
        <w:left w:val="none" w:sz="0" w:space="0" w:color="auto"/>
        <w:bottom w:val="none" w:sz="0" w:space="0" w:color="auto"/>
        <w:right w:val="none" w:sz="0" w:space="0" w:color="auto"/>
      </w:divBdr>
    </w:div>
    <w:div w:id="1642690657">
      <w:bodyDiv w:val="1"/>
      <w:marLeft w:val="0"/>
      <w:marRight w:val="0"/>
      <w:marTop w:val="0"/>
      <w:marBottom w:val="0"/>
      <w:divBdr>
        <w:top w:val="none" w:sz="0" w:space="0" w:color="auto"/>
        <w:left w:val="none" w:sz="0" w:space="0" w:color="auto"/>
        <w:bottom w:val="none" w:sz="0" w:space="0" w:color="auto"/>
        <w:right w:val="none" w:sz="0" w:space="0" w:color="auto"/>
      </w:divBdr>
    </w:div>
    <w:div w:id="1679190849">
      <w:bodyDiv w:val="1"/>
      <w:marLeft w:val="0"/>
      <w:marRight w:val="0"/>
      <w:marTop w:val="0"/>
      <w:marBottom w:val="0"/>
      <w:divBdr>
        <w:top w:val="none" w:sz="0" w:space="0" w:color="auto"/>
        <w:left w:val="none" w:sz="0" w:space="0" w:color="auto"/>
        <w:bottom w:val="none" w:sz="0" w:space="0" w:color="auto"/>
        <w:right w:val="none" w:sz="0" w:space="0" w:color="auto"/>
      </w:divBdr>
    </w:div>
    <w:div w:id="1684287041">
      <w:bodyDiv w:val="1"/>
      <w:marLeft w:val="0"/>
      <w:marRight w:val="0"/>
      <w:marTop w:val="0"/>
      <w:marBottom w:val="0"/>
      <w:divBdr>
        <w:top w:val="none" w:sz="0" w:space="0" w:color="auto"/>
        <w:left w:val="none" w:sz="0" w:space="0" w:color="auto"/>
        <w:bottom w:val="none" w:sz="0" w:space="0" w:color="auto"/>
        <w:right w:val="none" w:sz="0" w:space="0" w:color="auto"/>
      </w:divBdr>
    </w:div>
    <w:div w:id="1784112302">
      <w:bodyDiv w:val="1"/>
      <w:marLeft w:val="0"/>
      <w:marRight w:val="0"/>
      <w:marTop w:val="0"/>
      <w:marBottom w:val="0"/>
      <w:divBdr>
        <w:top w:val="none" w:sz="0" w:space="0" w:color="auto"/>
        <w:left w:val="none" w:sz="0" w:space="0" w:color="auto"/>
        <w:bottom w:val="none" w:sz="0" w:space="0" w:color="auto"/>
        <w:right w:val="none" w:sz="0" w:space="0" w:color="auto"/>
      </w:divBdr>
    </w:div>
    <w:div w:id="1788354266">
      <w:bodyDiv w:val="1"/>
      <w:marLeft w:val="0"/>
      <w:marRight w:val="0"/>
      <w:marTop w:val="0"/>
      <w:marBottom w:val="0"/>
      <w:divBdr>
        <w:top w:val="none" w:sz="0" w:space="0" w:color="auto"/>
        <w:left w:val="none" w:sz="0" w:space="0" w:color="auto"/>
        <w:bottom w:val="none" w:sz="0" w:space="0" w:color="auto"/>
        <w:right w:val="none" w:sz="0" w:space="0" w:color="auto"/>
      </w:divBdr>
    </w:div>
    <w:div w:id="1800491380">
      <w:bodyDiv w:val="1"/>
      <w:marLeft w:val="0"/>
      <w:marRight w:val="0"/>
      <w:marTop w:val="0"/>
      <w:marBottom w:val="0"/>
      <w:divBdr>
        <w:top w:val="none" w:sz="0" w:space="0" w:color="auto"/>
        <w:left w:val="none" w:sz="0" w:space="0" w:color="auto"/>
        <w:bottom w:val="none" w:sz="0" w:space="0" w:color="auto"/>
        <w:right w:val="none" w:sz="0" w:space="0" w:color="auto"/>
      </w:divBdr>
    </w:div>
    <w:div w:id="1848253365">
      <w:bodyDiv w:val="1"/>
      <w:marLeft w:val="0"/>
      <w:marRight w:val="0"/>
      <w:marTop w:val="0"/>
      <w:marBottom w:val="0"/>
      <w:divBdr>
        <w:top w:val="none" w:sz="0" w:space="0" w:color="auto"/>
        <w:left w:val="none" w:sz="0" w:space="0" w:color="auto"/>
        <w:bottom w:val="none" w:sz="0" w:space="0" w:color="auto"/>
        <w:right w:val="none" w:sz="0" w:space="0" w:color="auto"/>
      </w:divBdr>
    </w:div>
    <w:div w:id="1872377596">
      <w:bodyDiv w:val="1"/>
      <w:marLeft w:val="0"/>
      <w:marRight w:val="0"/>
      <w:marTop w:val="0"/>
      <w:marBottom w:val="0"/>
      <w:divBdr>
        <w:top w:val="none" w:sz="0" w:space="0" w:color="auto"/>
        <w:left w:val="none" w:sz="0" w:space="0" w:color="auto"/>
        <w:bottom w:val="none" w:sz="0" w:space="0" w:color="auto"/>
        <w:right w:val="none" w:sz="0" w:space="0" w:color="auto"/>
      </w:divBdr>
    </w:div>
    <w:div w:id="1875146300">
      <w:bodyDiv w:val="1"/>
      <w:marLeft w:val="0"/>
      <w:marRight w:val="0"/>
      <w:marTop w:val="0"/>
      <w:marBottom w:val="0"/>
      <w:divBdr>
        <w:top w:val="none" w:sz="0" w:space="0" w:color="auto"/>
        <w:left w:val="none" w:sz="0" w:space="0" w:color="auto"/>
        <w:bottom w:val="none" w:sz="0" w:space="0" w:color="auto"/>
        <w:right w:val="none" w:sz="0" w:space="0" w:color="auto"/>
      </w:divBdr>
    </w:div>
    <w:div w:id="1884174368">
      <w:bodyDiv w:val="1"/>
      <w:marLeft w:val="0"/>
      <w:marRight w:val="0"/>
      <w:marTop w:val="0"/>
      <w:marBottom w:val="0"/>
      <w:divBdr>
        <w:top w:val="none" w:sz="0" w:space="0" w:color="auto"/>
        <w:left w:val="none" w:sz="0" w:space="0" w:color="auto"/>
        <w:bottom w:val="none" w:sz="0" w:space="0" w:color="auto"/>
        <w:right w:val="none" w:sz="0" w:space="0" w:color="auto"/>
      </w:divBdr>
      <w:divsChild>
        <w:div w:id="246767385">
          <w:marLeft w:val="0"/>
          <w:marRight w:val="0"/>
          <w:marTop w:val="0"/>
          <w:marBottom w:val="0"/>
          <w:divBdr>
            <w:top w:val="none" w:sz="0" w:space="0" w:color="auto"/>
            <w:left w:val="none" w:sz="0" w:space="0" w:color="auto"/>
            <w:bottom w:val="none" w:sz="0" w:space="0" w:color="auto"/>
            <w:right w:val="none" w:sz="0" w:space="0" w:color="auto"/>
          </w:divBdr>
          <w:divsChild>
            <w:div w:id="1064526648">
              <w:marLeft w:val="0"/>
              <w:marRight w:val="0"/>
              <w:marTop w:val="0"/>
              <w:marBottom w:val="0"/>
              <w:divBdr>
                <w:top w:val="none" w:sz="0" w:space="0" w:color="auto"/>
                <w:left w:val="none" w:sz="0" w:space="0" w:color="auto"/>
                <w:bottom w:val="none" w:sz="0" w:space="0" w:color="auto"/>
                <w:right w:val="none" w:sz="0" w:space="0" w:color="auto"/>
              </w:divBdr>
              <w:divsChild>
                <w:div w:id="785545580">
                  <w:marLeft w:val="0"/>
                  <w:marRight w:val="0"/>
                  <w:marTop w:val="0"/>
                  <w:marBottom w:val="0"/>
                  <w:divBdr>
                    <w:top w:val="none" w:sz="0" w:space="0" w:color="auto"/>
                    <w:left w:val="none" w:sz="0" w:space="0" w:color="auto"/>
                    <w:bottom w:val="none" w:sz="0" w:space="0" w:color="auto"/>
                    <w:right w:val="none" w:sz="0" w:space="0" w:color="auto"/>
                  </w:divBdr>
                  <w:divsChild>
                    <w:div w:id="668555441">
                      <w:marLeft w:val="0"/>
                      <w:marRight w:val="0"/>
                      <w:marTop w:val="0"/>
                      <w:marBottom w:val="0"/>
                      <w:divBdr>
                        <w:top w:val="none" w:sz="0" w:space="0" w:color="auto"/>
                        <w:left w:val="none" w:sz="0" w:space="0" w:color="auto"/>
                        <w:bottom w:val="none" w:sz="0" w:space="0" w:color="auto"/>
                        <w:right w:val="none" w:sz="0" w:space="0" w:color="auto"/>
                      </w:divBdr>
                      <w:divsChild>
                        <w:div w:id="40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39673">
      <w:bodyDiv w:val="1"/>
      <w:marLeft w:val="0"/>
      <w:marRight w:val="0"/>
      <w:marTop w:val="0"/>
      <w:marBottom w:val="0"/>
      <w:divBdr>
        <w:top w:val="none" w:sz="0" w:space="0" w:color="auto"/>
        <w:left w:val="none" w:sz="0" w:space="0" w:color="auto"/>
        <w:bottom w:val="none" w:sz="0" w:space="0" w:color="auto"/>
        <w:right w:val="none" w:sz="0" w:space="0" w:color="auto"/>
      </w:divBdr>
    </w:div>
    <w:div w:id="1944995233">
      <w:bodyDiv w:val="1"/>
      <w:marLeft w:val="0"/>
      <w:marRight w:val="0"/>
      <w:marTop w:val="0"/>
      <w:marBottom w:val="0"/>
      <w:divBdr>
        <w:top w:val="none" w:sz="0" w:space="0" w:color="auto"/>
        <w:left w:val="none" w:sz="0" w:space="0" w:color="auto"/>
        <w:bottom w:val="none" w:sz="0" w:space="0" w:color="auto"/>
        <w:right w:val="none" w:sz="0" w:space="0" w:color="auto"/>
      </w:divBdr>
    </w:div>
    <w:div w:id="1963143741">
      <w:bodyDiv w:val="1"/>
      <w:marLeft w:val="0"/>
      <w:marRight w:val="0"/>
      <w:marTop w:val="0"/>
      <w:marBottom w:val="0"/>
      <w:divBdr>
        <w:top w:val="none" w:sz="0" w:space="0" w:color="auto"/>
        <w:left w:val="none" w:sz="0" w:space="0" w:color="auto"/>
        <w:bottom w:val="none" w:sz="0" w:space="0" w:color="auto"/>
        <w:right w:val="none" w:sz="0" w:space="0" w:color="auto"/>
      </w:divBdr>
    </w:div>
    <w:div w:id="21128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Pages>
  <Words>757</Words>
  <Characters>4316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PFISTER Servane</dc:creator>
  <cp:lastModifiedBy>DIVE Valentin</cp:lastModifiedBy>
  <cp:revision>44</cp:revision>
  <cp:lastPrinted>2020-03-04T11:24:00Z</cp:lastPrinted>
  <dcterms:created xsi:type="dcterms:W3CDTF">2020-09-04T08:05:00Z</dcterms:created>
  <dcterms:modified xsi:type="dcterms:W3CDTF">2021-02-12T09:40:00Z</dcterms:modified>
</cp:coreProperties>
</file>