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024A" w14:textId="3422457B" w:rsidR="00532D98" w:rsidRPr="00C564C1" w:rsidRDefault="00C564C1" w:rsidP="00532D98">
      <w:pPr>
        <w:pStyle w:val="AFGDate"/>
        <w:rPr>
          <w:lang w:val="en-GB"/>
        </w:rPr>
      </w:pPr>
      <w:r w:rsidRPr="00C564C1">
        <w:rPr>
          <w:lang w:val="en-GB"/>
        </w:rPr>
        <w:t>october</w:t>
      </w:r>
      <w:r w:rsidR="00532D98" w:rsidRPr="00C564C1">
        <w:rPr>
          <w:lang w:val="en-GB"/>
        </w:rPr>
        <w:t xml:space="preserve"> 202</w:t>
      </w:r>
      <w:r w:rsidRPr="00C564C1">
        <w:rPr>
          <w:lang w:val="en-GB"/>
        </w:rPr>
        <w:t>4</w:t>
      </w:r>
    </w:p>
    <w:p w14:paraId="31D9C4A6" w14:textId="5213327D" w:rsidR="00532D98" w:rsidRPr="00C564C1" w:rsidRDefault="00C564C1" w:rsidP="00532D98">
      <w:pPr>
        <w:pStyle w:val="AFGCatgoriededocumentCollection"/>
        <w:rPr>
          <w:lang w:val="en-GB"/>
        </w:rPr>
      </w:pPr>
      <w:r w:rsidRPr="00C564C1">
        <w:rPr>
          <w:lang w:val="en-GB"/>
        </w:rPr>
        <w:t xml:space="preserve">AFG's Draft response to esma's </w:t>
      </w:r>
      <w:r w:rsidR="00172EA5">
        <w:rPr>
          <w:lang w:val="en-GB"/>
        </w:rPr>
        <w:t>C</w:t>
      </w:r>
      <w:r w:rsidRPr="00C564C1">
        <w:rPr>
          <w:lang w:val="en-GB"/>
        </w:rPr>
        <w:t xml:space="preserve">onsultation </w:t>
      </w:r>
    </w:p>
    <w:p w14:paraId="34FB2B2B" w14:textId="57F89C83" w:rsidR="00C91E7C" w:rsidRPr="00C564C1" w:rsidRDefault="00C564C1" w:rsidP="00C564C1">
      <w:pPr>
        <w:rPr>
          <w:rFonts w:cs="Times New Roman (Corps CS)"/>
          <w:caps/>
          <w:color w:val="FFFFFF" w:themeColor="background1"/>
          <w:sz w:val="24"/>
          <w:szCs w:val="24"/>
          <w:lang w:val="en-GB"/>
        </w:rPr>
      </w:pPr>
      <w:r w:rsidRPr="00C564C1">
        <w:rPr>
          <w:rFonts w:ascii="Montserrat SemiBold" w:hAnsi="Montserrat SemiBold"/>
          <w:b/>
          <w:bCs/>
          <w:color w:val="FFFFFF" w:themeColor="background1"/>
          <w:sz w:val="50"/>
          <w:szCs w:val="50"/>
          <w:lang w:val="en-GB"/>
        </w:rPr>
        <w:t>Technical Standards specifying the criteria for establishing and assessing the effectiveness of investment firms’ order execution policies</w:t>
      </w:r>
    </w:p>
    <w:p w14:paraId="22B3E943" w14:textId="77777777" w:rsidR="004B352A" w:rsidRPr="00C564C1" w:rsidRDefault="004B352A">
      <w:pPr>
        <w:rPr>
          <w:lang w:val="en-GB"/>
        </w:rPr>
      </w:pPr>
      <w:r w:rsidRPr="00C564C1">
        <w:rPr>
          <w:lang w:val="en-GB"/>
        </w:rPr>
        <w:br w:type="page"/>
      </w:r>
    </w:p>
    <w:p w14:paraId="6B08849B" w14:textId="77777777" w:rsidR="00EE0D42" w:rsidRPr="005D2728" w:rsidRDefault="00EE0D42" w:rsidP="00EE0D42">
      <w:pPr>
        <w:pStyle w:val="AFGTexteretrait1"/>
        <w:ind w:right="1302"/>
        <w:jc w:val="both"/>
        <w:rPr>
          <w:color w:val="164194" w:themeColor="text2"/>
          <w:lang w:val="en-GB"/>
        </w:rPr>
      </w:pPr>
      <w:r w:rsidRPr="005D2728">
        <w:rPr>
          <w:color w:val="164194" w:themeColor="text2"/>
          <w:lang w:val="en-GB"/>
        </w:rPr>
        <w:lastRenderedPageBreak/>
        <w:t xml:space="preserve">The AFG federates the asset management industry for 60 years, serving investors and the economy. It is the collective voice of its members, the asset management companies, whether they are entrepreneurs or subsidiaries of banking or insurance groups, French or foreigners. In France, the asset management industry comprises </w:t>
      </w:r>
      <w:r w:rsidR="00A43C95">
        <w:rPr>
          <w:color w:val="164194" w:themeColor="text2"/>
          <w:lang w:val="en-GB"/>
        </w:rPr>
        <w:t>70</w:t>
      </w:r>
      <w:r w:rsidRPr="005D2728">
        <w:rPr>
          <w:color w:val="164194" w:themeColor="text2"/>
          <w:lang w:val="en-GB"/>
        </w:rPr>
        <w:t>0 management companies, with €</w:t>
      </w:r>
      <w:r>
        <w:rPr>
          <w:color w:val="164194" w:themeColor="text2"/>
          <w:lang w:val="en-GB"/>
        </w:rPr>
        <w:t>4</w:t>
      </w:r>
      <w:r w:rsidR="00B67535">
        <w:rPr>
          <w:color w:val="164194" w:themeColor="text2"/>
          <w:lang w:val="en-GB"/>
        </w:rPr>
        <w:t>6</w:t>
      </w:r>
      <w:r>
        <w:rPr>
          <w:color w:val="164194" w:themeColor="text2"/>
          <w:lang w:val="en-GB"/>
        </w:rPr>
        <w:t>00</w:t>
      </w:r>
      <w:r w:rsidRPr="005D2728">
        <w:rPr>
          <w:color w:val="164194" w:themeColor="text2"/>
          <w:lang w:val="en-GB"/>
        </w:rPr>
        <w:t xml:space="preserve"> billion under management and </w:t>
      </w:r>
      <w:r w:rsidR="004E5B6B">
        <w:rPr>
          <w:color w:val="164194" w:themeColor="text2"/>
          <w:lang w:val="en-GB"/>
        </w:rPr>
        <w:t>102</w:t>
      </w:r>
      <w:r w:rsidRPr="005D2728">
        <w:rPr>
          <w:color w:val="164194" w:themeColor="text2"/>
          <w:lang w:val="en-GB"/>
        </w:rPr>
        <w:t>,000 jobs, including 2</w:t>
      </w:r>
      <w:r w:rsidR="004E5B6B">
        <w:rPr>
          <w:color w:val="164194" w:themeColor="text2"/>
          <w:lang w:val="en-GB"/>
        </w:rPr>
        <w:t>7</w:t>
      </w:r>
      <w:r w:rsidRPr="005D2728">
        <w:rPr>
          <w:color w:val="164194" w:themeColor="text2"/>
          <w:lang w:val="en-GB"/>
        </w:rPr>
        <w:t xml:space="preserve">,000 jobs in management companies. </w:t>
      </w:r>
    </w:p>
    <w:p w14:paraId="40D42346" w14:textId="77777777" w:rsidR="00EE0D42" w:rsidRPr="00D05CF5" w:rsidRDefault="00EE0D42" w:rsidP="00EE0D42">
      <w:pPr>
        <w:pStyle w:val="AFGTexteretrait1"/>
        <w:ind w:right="1302"/>
        <w:jc w:val="both"/>
        <w:rPr>
          <w:color w:val="164194" w:themeColor="text2"/>
          <w:lang w:val="en-GB"/>
        </w:rPr>
      </w:pPr>
      <w:r w:rsidRPr="005D2728">
        <w:rPr>
          <w:color w:val="164194" w:themeColor="text2"/>
          <w:lang w:val="en-GB"/>
        </w:rPr>
        <w:t xml:space="preserve">The AFG commits to the growth of the asset management industry, brings out solutions that benefit all players in its ecosystem and makes the industry shine and develop ​in France, Europe and beyond, in the interests of all. </w:t>
      </w:r>
      <w:r w:rsidRPr="00D05CF5">
        <w:rPr>
          <w:color w:val="164194" w:themeColor="text2"/>
          <w:lang w:val="en-GB"/>
        </w:rPr>
        <w:t>The AFG is fully invested to the future.</w:t>
      </w:r>
    </w:p>
    <w:p w14:paraId="0FC28173" w14:textId="77777777" w:rsidR="004D7855" w:rsidRDefault="004D7855" w:rsidP="00E477B7">
      <w:pPr>
        <w:pStyle w:val="AFGTextecourant"/>
        <w:ind w:left="0"/>
        <w:jc w:val="both"/>
        <w:rPr>
          <w:color w:val="164194" w:themeColor="text2"/>
          <w:lang w:val="en-GB"/>
        </w:rPr>
      </w:pPr>
    </w:p>
    <w:p w14:paraId="0741D8F8" w14:textId="33ECC895" w:rsidR="004B352A" w:rsidRPr="003505A2" w:rsidRDefault="00CD6474" w:rsidP="003505A2">
      <w:pPr>
        <w:pStyle w:val="AFGTextecourant"/>
        <w:ind w:left="0"/>
        <w:jc w:val="both"/>
        <w:rPr>
          <w:lang w:val="en-GB"/>
        </w:rPr>
      </w:pPr>
      <w:r w:rsidRPr="003505A2">
        <w:rPr>
          <w:lang w:val="en-GB"/>
        </w:rPr>
        <w:t>We thank ESMA for this consultation.</w:t>
      </w:r>
    </w:p>
    <w:p w14:paraId="49DDD43E" w14:textId="0E2CB479" w:rsidR="004D7855" w:rsidRPr="003505A2" w:rsidRDefault="001912CD" w:rsidP="003505A2">
      <w:pPr>
        <w:pStyle w:val="AFGTextecourant"/>
        <w:ind w:left="0"/>
        <w:jc w:val="both"/>
        <w:rPr>
          <w:lang w:val="en-GB"/>
        </w:rPr>
      </w:pPr>
      <w:r w:rsidRPr="003505A2">
        <w:rPr>
          <w:lang w:val="en-GB"/>
        </w:rPr>
        <w:t xml:space="preserve">Discussions with our members </w:t>
      </w:r>
      <w:r w:rsidR="00F064C2">
        <w:rPr>
          <w:lang w:val="en-GB"/>
        </w:rPr>
        <w:t xml:space="preserve">gathered </w:t>
      </w:r>
      <w:r w:rsidRPr="003505A2">
        <w:rPr>
          <w:lang w:val="en-GB"/>
        </w:rPr>
        <w:t>feed</w:t>
      </w:r>
      <w:r w:rsidR="004D7855" w:rsidRPr="003505A2">
        <w:rPr>
          <w:lang w:val="en-GB"/>
        </w:rPr>
        <w:t>-</w:t>
      </w:r>
      <w:r w:rsidRPr="003505A2">
        <w:rPr>
          <w:lang w:val="en-GB"/>
        </w:rPr>
        <w:t xml:space="preserve">back that a standardized and simple policy guidance will serve clients’ interests and be a building block of the industry reputation, offering common standards to back current </w:t>
      </w:r>
      <w:r w:rsidR="001D18DC">
        <w:rPr>
          <w:lang w:val="en-GB"/>
        </w:rPr>
        <w:t xml:space="preserve">satisfactory and </w:t>
      </w:r>
      <w:r w:rsidR="00F064C2">
        <w:rPr>
          <w:lang w:val="en-GB"/>
        </w:rPr>
        <w:t xml:space="preserve">already </w:t>
      </w:r>
      <w:r w:rsidR="001C7BA1" w:rsidRPr="003505A2">
        <w:rPr>
          <w:lang w:val="en-GB"/>
        </w:rPr>
        <w:t xml:space="preserve">detailed </w:t>
      </w:r>
      <w:r w:rsidRPr="003505A2">
        <w:rPr>
          <w:lang w:val="en-GB"/>
        </w:rPr>
        <w:t>execution policies established by each entity.</w:t>
      </w:r>
      <w:r w:rsidR="005C15F5" w:rsidRPr="003505A2">
        <w:rPr>
          <w:lang w:val="en-GB"/>
        </w:rPr>
        <w:t xml:space="preserve"> </w:t>
      </w:r>
    </w:p>
    <w:p w14:paraId="090B36CA" w14:textId="073F37D1" w:rsidR="001912CD" w:rsidRDefault="005C15F5" w:rsidP="003505A2">
      <w:pPr>
        <w:pStyle w:val="AFGTextecourant"/>
        <w:ind w:left="0"/>
        <w:jc w:val="both"/>
        <w:rPr>
          <w:lang w:val="en-GB"/>
        </w:rPr>
      </w:pPr>
      <w:r w:rsidRPr="003505A2">
        <w:rPr>
          <w:lang w:val="en-GB"/>
        </w:rPr>
        <w:t>.</w:t>
      </w:r>
    </w:p>
    <w:p w14:paraId="7C81DEDA" w14:textId="77777777" w:rsidR="00F064C2" w:rsidRPr="00DD0965" w:rsidRDefault="00F064C2" w:rsidP="00F064C2">
      <w:pPr>
        <w:jc w:val="both"/>
        <w:rPr>
          <w:sz w:val="20"/>
          <w:szCs w:val="20"/>
          <w:lang w:val="en-US"/>
        </w:rPr>
      </w:pPr>
      <w:r w:rsidRPr="00DD0965">
        <w:rPr>
          <w:sz w:val="20"/>
          <w:szCs w:val="20"/>
          <w:lang w:val="en-US"/>
        </w:rPr>
        <w:t>By nature and purpose the policy has to be descriptive and is not meant to deliver analytical results. It is insofar different from a reporting obligation and in no way a future RTS should transform the obligation of transparency on order execution policies into a new RTS 28 reporting requirement.</w:t>
      </w:r>
    </w:p>
    <w:p w14:paraId="1D4F4AA8" w14:textId="77777777" w:rsidR="00F064C2" w:rsidRPr="00DD0965" w:rsidRDefault="00F064C2" w:rsidP="00F064C2">
      <w:pPr>
        <w:ind w:left="1080"/>
        <w:jc w:val="both"/>
        <w:rPr>
          <w:sz w:val="20"/>
          <w:szCs w:val="20"/>
          <w:lang w:val="en-US"/>
        </w:rPr>
      </w:pPr>
      <w:r w:rsidRPr="00DD0965">
        <w:rPr>
          <w:sz w:val="20"/>
          <w:szCs w:val="20"/>
          <w:lang w:val="en-US"/>
        </w:rPr>
        <w:t>What should guide ESMA when developing criteria under the RTS:</w:t>
      </w:r>
    </w:p>
    <w:p w14:paraId="05EFD372" w14:textId="77777777" w:rsidR="00F064C2" w:rsidRPr="00DD0965" w:rsidRDefault="00F064C2" w:rsidP="00F064C2">
      <w:pPr>
        <w:pStyle w:val="Paragraphedeliste"/>
        <w:numPr>
          <w:ilvl w:val="0"/>
          <w:numId w:val="22"/>
        </w:numPr>
        <w:spacing w:after="160" w:line="259" w:lineRule="auto"/>
        <w:jc w:val="both"/>
        <w:rPr>
          <w:sz w:val="20"/>
          <w:szCs w:val="20"/>
          <w:lang w:val="en-US"/>
        </w:rPr>
      </w:pPr>
      <w:r w:rsidRPr="00DD0965">
        <w:rPr>
          <w:sz w:val="20"/>
          <w:szCs w:val="20"/>
          <w:lang w:val="en-US"/>
        </w:rPr>
        <w:t xml:space="preserve">Criteria must be meaningful for targeted addressees of the policy. Requiring an unreasonable level of granular information which generates high cost of production whilst not delivering useful results must be avoided </w:t>
      </w:r>
    </w:p>
    <w:p w14:paraId="5C8F69AB" w14:textId="77777777" w:rsidR="00F064C2" w:rsidRPr="00DD0965" w:rsidRDefault="00F064C2" w:rsidP="00F064C2">
      <w:pPr>
        <w:pStyle w:val="Paragraphedeliste"/>
        <w:numPr>
          <w:ilvl w:val="0"/>
          <w:numId w:val="22"/>
        </w:numPr>
        <w:spacing w:after="160" w:line="259" w:lineRule="auto"/>
        <w:jc w:val="both"/>
        <w:rPr>
          <w:sz w:val="20"/>
          <w:szCs w:val="20"/>
          <w:lang w:val="en-US"/>
        </w:rPr>
      </w:pPr>
      <w:r w:rsidRPr="00DD0965">
        <w:rPr>
          <w:sz w:val="20"/>
          <w:szCs w:val="20"/>
          <w:lang w:val="en-US"/>
        </w:rPr>
        <w:t>A sound cost benefit analysis should be conducted as EU competitiveness is at stake</w:t>
      </w:r>
    </w:p>
    <w:p w14:paraId="04D5BA3D" w14:textId="77777777" w:rsidR="00F064C2" w:rsidRPr="00DD0965" w:rsidRDefault="00F064C2" w:rsidP="00F064C2">
      <w:pPr>
        <w:pStyle w:val="Paragraphedeliste"/>
        <w:numPr>
          <w:ilvl w:val="0"/>
          <w:numId w:val="22"/>
        </w:numPr>
        <w:spacing w:after="160" w:line="259" w:lineRule="auto"/>
        <w:jc w:val="both"/>
        <w:rPr>
          <w:sz w:val="20"/>
          <w:szCs w:val="20"/>
          <w:lang w:val="en-US"/>
        </w:rPr>
      </w:pPr>
      <w:r w:rsidRPr="00DD0965">
        <w:rPr>
          <w:sz w:val="20"/>
          <w:szCs w:val="20"/>
          <w:lang w:val="en-US"/>
        </w:rPr>
        <w:lastRenderedPageBreak/>
        <w:t xml:space="preserve">The policy is a generic document dedicated to a large scope of (potential) investors </w:t>
      </w:r>
    </w:p>
    <w:p w14:paraId="165665F8" w14:textId="77777777" w:rsidR="00F064C2" w:rsidRPr="00DD0965" w:rsidRDefault="00F064C2" w:rsidP="00F064C2">
      <w:pPr>
        <w:pStyle w:val="Paragraphedeliste"/>
        <w:numPr>
          <w:ilvl w:val="0"/>
          <w:numId w:val="22"/>
        </w:numPr>
        <w:spacing w:after="160" w:line="259" w:lineRule="auto"/>
        <w:jc w:val="both"/>
        <w:rPr>
          <w:sz w:val="20"/>
          <w:szCs w:val="20"/>
          <w:lang w:val="en-US"/>
        </w:rPr>
      </w:pPr>
      <w:r w:rsidRPr="00DD0965">
        <w:rPr>
          <w:sz w:val="20"/>
          <w:szCs w:val="20"/>
          <w:lang w:val="en-US"/>
        </w:rPr>
        <w:t>It shall sufficiently explain the methodology of order execution for different classes of financial instruments and give examples of theoretical circumstances under which derogations would apply or policy would be changed but not take all possible specific cases into account</w:t>
      </w:r>
    </w:p>
    <w:p w14:paraId="0B928A3A" w14:textId="77777777" w:rsidR="00F064C2" w:rsidRPr="00DD0965" w:rsidRDefault="00F064C2" w:rsidP="00F064C2">
      <w:pPr>
        <w:pStyle w:val="Paragraphedeliste"/>
        <w:numPr>
          <w:ilvl w:val="0"/>
          <w:numId w:val="22"/>
        </w:numPr>
        <w:spacing w:after="160" w:line="259" w:lineRule="auto"/>
        <w:jc w:val="both"/>
        <w:rPr>
          <w:sz w:val="20"/>
          <w:szCs w:val="20"/>
          <w:lang w:val="en-US"/>
        </w:rPr>
      </w:pPr>
      <w:r w:rsidRPr="00DD0965">
        <w:rPr>
          <w:sz w:val="20"/>
          <w:szCs w:val="20"/>
          <w:lang w:val="en-US"/>
        </w:rPr>
        <w:t xml:space="preserve">It shall define a reasonable frequency for assessment and monitoring obligations but not require to publish within the policy document analytical results (MIFID II requires a whole set of </w:t>
      </w:r>
      <w:proofErr w:type="spellStart"/>
      <w:r w:rsidRPr="00DD0965">
        <w:rPr>
          <w:sz w:val="20"/>
          <w:szCs w:val="20"/>
          <w:lang w:val="en-US"/>
        </w:rPr>
        <w:t>reportings</w:t>
      </w:r>
      <w:proofErr w:type="spellEnd"/>
      <w:r w:rsidRPr="00DD0965">
        <w:rPr>
          <w:sz w:val="20"/>
          <w:szCs w:val="20"/>
          <w:lang w:val="en-US"/>
        </w:rPr>
        <w:t xml:space="preserve"> which already </w:t>
      </w:r>
      <w:proofErr w:type="spellStart"/>
      <w:r w:rsidRPr="00DD0965">
        <w:rPr>
          <w:sz w:val="20"/>
          <w:szCs w:val="20"/>
          <w:lang w:val="en-US"/>
        </w:rPr>
        <w:t>fullfill</w:t>
      </w:r>
      <w:proofErr w:type="spellEnd"/>
      <w:r w:rsidRPr="00DD0965">
        <w:rPr>
          <w:sz w:val="20"/>
          <w:szCs w:val="20"/>
          <w:lang w:val="en-US"/>
        </w:rPr>
        <w:t xml:space="preserve"> this aim)</w:t>
      </w:r>
    </w:p>
    <w:p w14:paraId="0FCD9037" w14:textId="77777777" w:rsidR="00F064C2" w:rsidRPr="00DD0965" w:rsidRDefault="00F064C2" w:rsidP="00F064C2">
      <w:pPr>
        <w:pStyle w:val="Paragraphedeliste"/>
        <w:numPr>
          <w:ilvl w:val="0"/>
          <w:numId w:val="22"/>
        </w:numPr>
        <w:spacing w:after="160" w:line="259" w:lineRule="auto"/>
        <w:jc w:val="both"/>
        <w:rPr>
          <w:sz w:val="20"/>
          <w:szCs w:val="20"/>
          <w:lang w:val="en-GB"/>
        </w:rPr>
      </w:pPr>
      <w:r w:rsidRPr="00DD0965">
        <w:rPr>
          <w:sz w:val="20"/>
          <w:szCs w:val="20"/>
          <w:lang w:val="en-US"/>
        </w:rPr>
        <w:t xml:space="preserve">Categorization of classes of financial instruments within the scope of the policy shall be standardized so that existing and </w:t>
      </w:r>
      <w:proofErr w:type="spellStart"/>
      <w:r w:rsidRPr="00DD0965">
        <w:rPr>
          <w:sz w:val="20"/>
          <w:szCs w:val="20"/>
          <w:lang w:val="en-US"/>
        </w:rPr>
        <w:t>furture</w:t>
      </w:r>
      <w:proofErr w:type="spellEnd"/>
      <w:r w:rsidRPr="00DD0965">
        <w:rPr>
          <w:sz w:val="20"/>
          <w:szCs w:val="20"/>
          <w:lang w:val="en-US"/>
        </w:rPr>
        <w:t xml:space="preserve"> clients can compare order policies of different service providers.</w:t>
      </w:r>
    </w:p>
    <w:p w14:paraId="5C2249D9" w14:textId="77777777" w:rsidR="00F064C2" w:rsidRPr="00DD0965" w:rsidRDefault="00F064C2" w:rsidP="00F064C2">
      <w:pPr>
        <w:pStyle w:val="Paragraphedeliste"/>
        <w:numPr>
          <w:ilvl w:val="0"/>
          <w:numId w:val="22"/>
        </w:numPr>
        <w:spacing w:after="160" w:line="259" w:lineRule="auto"/>
        <w:jc w:val="both"/>
        <w:rPr>
          <w:sz w:val="20"/>
          <w:szCs w:val="20"/>
          <w:lang w:val="en-GB"/>
        </w:rPr>
      </w:pPr>
      <w:r w:rsidRPr="00DD0965">
        <w:rPr>
          <w:sz w:val="20"/>
          <w:szCs w:val="20"/>
          <w:lang w:val="en-US"/>
        </w:rPr>
        <w:t>Level 2 legislation should not introduce de facto obligations not mandated in Level1 (i.e. mandatory use of CT dataset)</w:t>
      </w:r>
    </w:p>
    <w:p w14:paraId="2B08D0F0" w14:textId="77777777" w:rsidR="00F064C2" w:rsidRPr="003505A2" w:rsidRDefault="00F064C2" w:rsidP="003505A2">
      <w:pPr>
        <w:pStyle w:val="AFGTextecourant"/>
        <w:ind w:left="0"/>
        <w:jc w:val="both"/>
        <w:rPr>
          <w:lang w:val="en-GB"/>
        </w:rPr>
      </w:pPr>
    </w:p>
    <w:p w14:paraId="29298172" w14:textId="4DD71014" w:rsidR="000A607F" w:rsidRPr="003505A2" w:rsidRDefault="00464160" w:rsidP="000A607F">
      <w:pPr>
        <w:pStyle w:val="AFGTextecourant"/>
        <w:ind w:left="0"/>
        <w:jc w:val="both"/>
        <w:rPr>
          <w:lang w:val="en-GB"/>
        </w:rPr>
      </w:pPr>
      <w:r w:rsidRPr="003505A2">
        <w:rPr>
          <w:lang w:val="en-GB"/>
        </w:rPr>
        <w:t xml:space="preserve">We </w:t>
      </w:r>
      <w:r w:rsidR="000A607F">
        <w:rPr>
          <w:lang w:val="en-GB"/>
        </w:rPr>
        <w:t>furthermore</w:t>
      </w:r>
      <w:r w:rsidRPr="003505A2">
        <w:rPr>
          <w:lang w:val="en-GB"/>
        </w:rPr>
        <w:t xml:space="preserve"> are not aware of any issue from retail (or institutional) investors</w:t>
      </w:r>
      <w:r w:rsidR="000A607F">
        <w:rPr>
          <w:lang w:val="en-GB"/>
        </w:rPr>
        <w:t xml:space="preserve"> justifying the</w:t>
      </w:r>
      <w:r w:rsidRPr="003505A2">
        <w:rPr>
          <w:lang w:val="en-GB"/>
        </w:rPr>
        <w:t xml:space="preserve"> need to adopt </w:t>
      </w:r>
      <w:r w:rsidR="000A607F">
        <w:rPr>
          <w:lang w:val="en-GB"/>
        </w:rPr>
        <w:t xml:space="preserve">such far going </w:t>
      </w:r>
      <w:r w:rsidR="000A607F" w:rsidRPr="003505A2">
        <w:rPr>
          <w:lang w:val="en-GB"/>
        </w:rPr>
        <w:t>requirements</w:t>
      </w:r>
      <w:r w:rsidR="000A607F">
        <w:rPr>
          <w:lang w:val="en-GB"/>
        </w:rPr>
        <w:t xml:space="preserve"> as set out under the draft proposal.  We believe that </w:t>
      </w:r>
      <w:r w:rsidR="000A607F" w:rsidRPr="003505A2">
        <w:rPr>
          <w:lang w:val="en-GB"/>
        </w:rPr>
        <w:t xml:space="preserve">they would handicap </w:t>
      </w:r>
      <w:r w:rsidR="000A607F">
        <w:rPr>
          <w:lang w:val="en-GB"/>
        </w:rPr>
        <w:t xml:space="preserve"> their meaningfulness </w:t>
      </w:r>
      <w:r w:rsidR="000A607F" w:rsidRPr="003505A2">
        <w:rPr>
          <w:lang w:val="en-GB"/>
        </w:rPr>
        <w:t xml:space="preserve">rather than foster it. Besides, </w:t>
      </w:r>
      <w:r w:rsidR="000A607F">
        <w:rPr>
          <w:lang w:val="en-GB"/>
        </w:rPr>
        <w:t xml:space="preserve">unnecessary </w:t>
      </w:r>
      <w:r w:rsidR="000A607F" w:rsidRPr="003505A2">
        <w:rPr>
          <w:lang w:val="en-GB"/>
        </w:rPr>
        <w:t>complexity is detrimental to retail investor good understanding</w:t>
      </w:r>
      <w:r w:rsidR="000A607F">
        <w:rPr>
          <w:lang w:val="en-GB"/>
        </w:rPr>
        <w:t xml:space="preserve"> basis of</w:t>
      </w:r>
      <w:r w:rsidR="000A607F" w:rsidRPr="003505A2">
        <w:rPr>
          <w:lang w:val="en-GB"/>
        </w:rPr>
        <w:t xml:space="preserve"> good protection.</w:t>
      </w:r>
    </w:p>
    <w:p w14:paraId="4BC7C097" w14:textId="150FEAE1" w:rsidR="00464160" w:rsidRPr="003505A2" w:rsidRDefault="005C15F5" w:rsidP="003505A2">
      <w:pPr>
        <w:pStyle w:val="AFGTextecourant"/>
        <w:ind w:left="0"/>
        <w:jc w:val="both"/>
        <w:rPr>
          <w:lang w:val="en-GB"/>
        </w:rPr>
      </w:pPr>
      <w:r w:rsidRPr="003505A2">
        <w:rPr>
          <w:lang w:val="en-GB"/>
        </w:rPr>
        <w:t>With a strong focus on “best price”, such proposal is n</w:t>
      </w:r>
      <w:r w:rsidR="003505A2">
        <w:rPr>
          <w:lang w:val="en-GB"/>
        </w:rPr>
        <w:t>o</w:t>
      </w:r>
      <w:r w:rsidRPr="003505A2">
        <w:rPr>
          <w:lang w:val="en-GB"/>
        </w:rPr>
        <w:t>t tailored for price driven markets.</w:t>
      </w:r>
    </w:p>
    <w:p w14:paraId="4D926C3C" w14:textId="0C479FEB" w:rsidR="00796137" w:rsidRDefault="005C15F5" w:rsidP="003505A2">
      <w:pPr>
        <w:pStyle w:val="AFGTextecourant"/>
        <w:ind w:left="0"/>
        <w:jc w:val="both"/>
        <w:rPr>
          <w:lang w:val="en-GB"/>
        </w:rPr>
      </w:pPr>
      <w:r w:rsidRPr="003505A2">
        <w:rPr>
          <w:lang w:val="en-GB"/>
        </w:rPr>
        <w:t>Proper guidance for best execution should not aim at encompassing all aspects and details of trading. Venue and counterpart selection, for instance, is also strongly connected to the investment firm risk management.</w:t>
      </w:r>
    </w:p>
    <w:p w14:paraId="5830E7A2" w14:textId="5B913F33" w:rsidR="00796137" w:rsidRPr="003505A2" w:rsidRDefault="00796137" w:rsidP="003505A2">
      <w:pPr>
        <w:pStyle w:val="AFGTextecourant"/>
        <w:ind w:left="0"/>
        <w:jc w:val="both"/>
        <w:rPr>
          <w:lang w:val="en-GB"/>
        </w:rPr>
        <w:sectPr w:rsidR="00796137" w:rsidRPr="003505A2" w:rsidSect="008B7FF7">
          <w:headerReference w:type="default" r:id="rId8"/>
          <w:headerReference w:type="first" r:id="rId9"/>
          <w:footerReference w:type="first" r:id="rId10"/>
          <w:pgSz w:w="11906" w:h="16838"/>
          <w:pgMar w:top="2170" w:right="1191" w:bottom="2268" w:left="1191" w:header="567" w:footer="567" w:gutter="0"/>
          <w:cols w:space="708"/>
          <w:titlePg/>
          <w:docGrid w:linePitch="360"/>
        </w:sectPr>
      </w:pPr>
      <w:r>
        <w:rPr>
          <w:lang w:val="en-GB"/>
        </w:rPr>
        <w:t>Accuracy of a policy depends on its adequacy.  Impact assessment is a necessary prelude.</w:t>
      </w:r>
      <w:r>
        <w:rPr>
          <w:lang w:val="en-GB"/>
        </w:rPr>
        <w:br/>
      </w:r>
    </w:p>
    <w:p w14:paraId="1110EDAA" w14:textId="0E08C486" w:rsidR="00446A45" w:rsidRPr="00CD6474" w:rsidRDefault="00446A45" w:rsidP="005C5E8E">
      <w:pPr>
        <w:spacing w:before="120" w:after="0" w:line="240" w:lineRule="auto"/>
        <w:rPr>
          <w:lang w:val="en-US"/>
        </w:rPr>
      </w:pPr>
    </w:p>
    <w:p w14:paraId="2173CC92" w14:textId="77777777" w:rsidR="00D05CF5" w:rsidRPr="00D05CF5" w:rsidRDefault="00D05CF5" w:rsidP="00D05CF5">
      <w:pPr>
        <w:pStyle w:val="AFGTextecourant"/>
        <w:jc w:val="both"/>
        <w:rPr>
          <w:b/>
          <w:bCs/>
          <w:color w:val="164194" w:themeColor="text2"/>
          <w:lang w:val="en-GB"/>
        </w:rPr>
      </w:pPr>
      <w:r w:rsidRPr="00D05CF5">
        <w:rPr>
          <w:b/>
          <w:bCs/>
          <w:color w:val="164194" w:themeColor="text2"/>
          <w:lang w:val="en-GB"/>
        </w:rPr>
        <w:t xml:space="preserve">Q1: Do </w:t>
      </w:r>
      <w:r w:rsidRPr="005C5E8E">
        <w:rPr>
          <w:b/>
          <w:bCs/>
          <w:color w:val="164194" w:themeColor="text2"/>
          <w:lang w:val="en-GB"/>
        </w:rPr>
        <w:t>you agree with the proposed categorisation of classes of financial instruments? And could the methodology based on, inter alia, the classification of financial instruments in the MiFID II RTSs 1 and 2 be used in the context of MiFID II transparency reporting be an</w:t>
      </w:r>
      <w:r w:rsidRPr="00D05CF5">
        <w:rPr>
          <w:b/>
          <w:bCs/>
          <w:color w:val="164194" w:themeColor="text2"/>
          <w:lang w:val="en-GB"/>
        </w:rPr>
        <w:t xml:space="preserve"> alternative? Please state the reasons for your answers. </w:t>
      </w:r>
    </w:p>
    <w:p w14:paraId="42096910" w14:textId="77777777" w:rsidR="00C95FAC" w:rsidRDefault="00C95FAC" w:rsidP="00C95FAC">
      <w:pPr>
        <w:spacing w:before="120" w:after="0" w:line="240" w:lineRule="auto"/>
        <w:rPr>
          <w:lang w:val="en-GB"/>
        </w:rPr>
      </w:pPr>
    </w:p>
    <w:p w14:paraId="4151C931" w14:textId="77777777" w:rsidR="001D18DC" w:rsidRDefault="00A538EA" w:rsidP="00E477B7">
      <w:pPr>
        <w:pStyle w:val="AFGTextecourant"/>
        <w:ind w:left="0"/>
        <w:jc w:val="both"/>
        <w:rPr>
          <w:lang w:val="en-GB"/>
        </w:rPr>
      </w:pPr>
      <w:r w:rsidRPr="003505A2">
        <w:rPr>
          <w:lang w:val="en-GB"/>
        </w:rPr>
        <w:t xml:space="preserve">We </w:t>
      </w:r>
      <w:r w:rsidR="001D18DC">
        <w:rPr>
          <w:lang w:val="en-GB"/>
        </w:rPr>
        <w:t>do agree that harmonised categorisation can be useful.</w:t>
      </w:r>
    </w:p>
    <w:p w14:paraId="726BF72F" w14:textId="04134999" w:rsidR="00666CEF" w:rsidRDefault="001D18DC" w:rsidP="00E477B7">
      <w:pPr>
        <w:pStyle w:val="AFGTextecourant"/>
        <w:ind w:left="0"/>
        <w:jc w:val="both"/>
        <w:rPr>
          <w:lang w:val="en-GB"/>
        </w:rPr>
      </w:pPr>
      <w:r>
        <w:rPr>
          <w:lang w:val="en-GB"/>
        </w:rPr>
        <w:t xml:space="preserve">We </w:t>
      </w:r>
      <w:r w:rsidR="00A538EA" w:rsidRPr="003505A2">
        <w:rPr>
          <w:lang w:val="en-GB"/>
        </w:rPr>
        <w:t xml:space="preserve">disagree with ESMA’s proposal to use the ISO 10962 Standard on the classification of financial instruments for the categorisation as part of the order execution policy. </w:t>
      </w:r>
    </w:p>
    <w:p w14:paraId="28215F21" w14:textId="72A9AD58" w:rsidR="00A538EA" w:rsidRPr="003505A2" w:rsidRDefault="00A538EA" w:rsidP="00E477B7">
      <w:pPr>
        <w:pStyle w:val="AFGTextecourant"/>
        <w:ind w:left="0"/>
        <w:jc w:val="both"/>
        <w:rPr>
          <w:lang w:val="en-GB"/>
        </w:rPr>
      </w:pPr>
      <w:r w:rsidRPr="003505A2">
        <w:rPr>
          <w:lang w:val="en-GB"/>
        </w:rPr>
        <w:t>This would mean having to differentiate between 76 different categories and, for the groups within equities category, between each country of primary listing. Such a granular categorisation is extremely burdensome to set for firms and has no added value/benefit for end investors. It doesn’t allow them to understand and comprehend the various policies, which is contrary to the core objective of an order execution policy.</w:t>
      </w:r>
    </w:p>
    <w:p w14:paraId="35234943" w14:textId="5B89E12C" w:rsidR="00A538EA" w:rsidRPr="003505A2" w:rsidRDefault="005C5E8E" w:rsidP="00E477B7">
      <w:pPr>
        <w:pStyle w:val="AFGTextecourant"/>
        <w:ind w:left="0"/>
        <w:jc w:val="both"/>
        <w:rPr>
          <w:lang w:val="en-GB"/>
        </w:rPr>
      </w:pPr>
      <w:r w:rsidRPr="003505A2">
        <w:rPr>
          <w:lang w:val="en-GB"/>
        </w:rPr>
        <w:t xml:space="preserve">We </w:t>
      </w:r>
      <w:r w:rsidR="009075D2" w:rsidRPr="003505A2">
        <w:rPr>
          <w:lang w:val="en-GB"/>
        </w:rPr>
        <w:t xml:space="preserve">think that the complexity of the ISO standard 10962 does not match the call of Authorities for policies that can be easily understood by institutional and retail clients. </w:t>
      </w:r>
      <w:r w:rsidR="00ED11F9">
        <w:rPr>
          <w:lang w:val="en-GB"/>
        </w:rPr>
        <w:t>In addition, it increases the risk of allocation &amp; reporting error.</w:t>
      </w:r>
    </w:p>
    <w:p w14:paraId="4FED0BE6" w14:textId="77777777" w:rsidR="001E37E5" w:rsidRPr="003505A2" w:rsidRDefault="001E37E5" w:rsidP="001E37E5">
      <w:pPr>
        <w:pStyle w:val="AFGTextecourant"/>
        <w:ind w:left="0"/>
        <w:jc w:val="both"/>
        <w:rPr>
          <w:lang w:val="en-GB"/>
        </w:rPr>
      </w:pPr>
      <w:r w:rsidRPr="003505A2">
        <w:rPr>
          <w:lang w:val="en-GB"/>
        </w:rPr>
        <w:t>The aim is to offer an umbrella policy fitting existing categorization, suitable for equity but also other asset classes such as fixed income instruments and easily readable by institutional and retail investors.</w:t>
      </w:r>
    </w:p>
    <w:p w14:paraId="1D15F565" w14:textId="67637F19" w:rsidR="00A538EA" w:rsidRPr="003505A2" w:rsidRDefault="001D18DC" w:rsidP="00A538EA">
      <w:pPr>
        <w:pStyle w:val="AFGTextecourant"/>
        <w:ind w:left="0"/>
        <w:jc w:val="both"/>
        <w:rPr>
          <w:lang w:val="en-US"/>
        </w:rPr>
      </w:pPr>
      <w:r>
        <w:rPr>
          <w:lang w:val="en-GB"/>
        </w:rPr>
        <w:t>For</w:t>
      </w:r>
      <w:r>
        <w:rPr>
          <w:lang w:val="en-GB"/>
        </w:rPr>
        <w:t xml:space="preserve"> </w:t>
      </w:r>
      <w:r w:rsidR="001E37E5">
        <w:rPr>
          <w:lang w:val="en-GB"/>
        </w:rPr>
        <w:t>the sake of consistency, a</w:t>
      </w:r>
      <w:r w:rsidR="00A538EA" w:rsidRPr="003505A2">
        <w:rPr>
          <w:lang w:val="en-GB"/>
        </w:rPr>
        <w:t xml:space="preserve">s an alternative, the </w:t>
      </w:r>
      <w:r w:rsidR="001E37E5">
        <w:rPr>
          <w:lang w:val="en-GB"/>
        </w:rPr>
        <w:t xml:space="preserve">existing </w:t>
      </w:r>
      <w:r w:rsidR="00A538EA" w:rsidRPr="003505A2">
        <w:rPr>
          <w:lang w:val="en-GB"/>
        </w:rPr>
        <w:t xml:space="preserve">classification of financial instruments in MiFID II </w:t>
      </w:r>
      <w:r w:rsidR="001E37E5">
        <w:rPr>
          <w:lang w:val="en-GB"/>
        </w:rPr>
        <w:t xml:space="preserve">already applied </w:t>
      </w:r>
      <w:r w:rsidR="00A538EA" w:rsidRPr="003505A2">
        <w:rPr>
          <w:lang w:val="en-GB"/>
        </w:rPr>
        <w:t xml:space="preserve">RTS </w:t>
      </w:r>
      <w:r>
        <w:rPr>
          <w:lang w:val="en-GB"/>
        </w:rPr>
        <w:t xml:space="preserve">such as RTS 1 / 2 </w:t>
      </w:r>
      <w:r w:rsidR="001E37E5">
        <w:rPr>
          <w:lang w:val="en-GB"/>
        </w:rPr>
        <w:t>sh</w:t>
      </w:r>
      <w:r w:rsidR="00A538EA" w:rsidRPr="003505A2">
        <w:rPr>
          <w:lang w:val="en-GB"/>
        </w:rPr>
        <w:t xml:space="preserve">ould be used. It would provide </w:t>
      </w:r>
      <w:r w:rsidR="001E37E5">
        <w:rPr>
          <w:lang w:val="en-GB"/>
        </w:rPr>
        <w:t>homogeneity</w:t>
      </w:r>
      <w:r w:rsidR="00A538EA" w:rsidRPr="003505A2">
        <w:rPr>
          <w:lang w:val="en-GB"/>
        </w:rPr>
        <w:t xml:space="preserve"> between classifications while leaving more flexibility for firms.</w:t>
      </w:r>
      <w:r w:rsidR="00A538EA" w:rsidRPr="003505A2">
        <w:rPr>
          <w:lang w:val="en-US"/>
        </w:rPr>
        <w:t xml:space="preserve"> </w:t>
      </w:r>
    </w:p>
    <w:p w14:paraId="5463384D" w14:textId="69AD4AA0" w:rsidR="00C819EA" w:rsidRPr="003505A2" w:rsidRDefault="001E37E5" w:rsidP="00E477B7">
      <w:pPr>
        <w:pStyle w:val="AFGTextecourant"/>
        <w:ind w:left="0"/>
        <w:jc w:val="both"/>
        <w:rPr>
          <w:lang w:val="en-GB"/>
        </w:rPr>
      </w:pPr>
      <w:r w:rsidRPr="003505A2">
        <w:rPr>
          <w:lang w:val="en-GB"/>
        </w:rPr>
        <w:t>Besides, the consultation offers that firms can cluster several classes.</w:t>
      </w:r>
      <w:r>
        <w:rPr>
          <w:lang w:val="en-GB"/>
        </w:rPr>
        <w:t xml:space="preserve"> </w:t>
      </w:r>
      <w:r w:rsidR="00C819EA" w:rsidRPr="003505A2">
        <w:rPr>
          <w:lang w:val="en-GB"/>
        </w:rPr>
        <w:t>Asset managers will naturally add specificities to their policies when needed (ex: complex/structured assets).</w:t>
      </w:r>
      <w:r w:rsidR="009075D2" w:rsidRPr="003505A2">
        <w:rPr>
          <w:lang w:val="en-GB"/>
        </w:rPr>
        <w:t xml:space="preserve"> If they do so, then RTS c</w:t>
      </w:r>
      <w:r w:rsidR="00A538EA" w:rsidRPr="003505A2">
        <w:rPr>
          <w:lang w:val="en-GB"/>
        </w:rPr>
        <w:t>ould</w:t>
      </w:r>
      <w:r w:rsidR="009075D2" w:rsidRPr="003505A2">
        <w:rPr>
          <w:lang w:val="en-GB"/>
        </w:rPr>
        <w:t xml:space="preserve"> invite to optionally use ISO 10962.</w:t>
      </w:r>
    </w:p>
    <w:p w14:paraId="18901355" w14:textId="77777777" w:rsidR="00C95FAC" w:rsidRPr="003D4FE4" w:rsidRDefault="00C95FAC" w:rsidP="00D05CF5">
      <w:pPr>
        <w:pStyle w:val="AFGTextecourant"/>
        <w:jc w:val="both"/>
        <w:rPr>
          <w:color w:val="164194" w:themeColor="text2"/>
          <w:lang w:val="en-GB"/>
        </w:rPr>
      </w:pPr>
    </w:p>
    <w:p w14:paraId="727BD274" w14:textId="77777777" w:rsidR="00D05CF5" w:rsidRDefault="00D05CF5" w:rsidP="00D05CF5">
      <w:pPr>
        <w:pStyle w:val="AFGTextecourant"/>
        <w:jc w:val="both"/>
        <w:rPr>
          <w:b/>
          <w:bCs/>
          <w:color w:val="164194" w:themeColor="text2"/>
          <w:lang w:val="en-GB"/>
        </w:rPr>
      </w:pPr>
      <w:r w:rsidRPr="00510EE4">
        <w:rPr>
          <w:b/>
          <w:bCs/>
          <w:color w:val="164194" w:themeColor="text2"/>
          <w:lang w:val="en-GB"/>
        </w:rPr>
        <w:t>Q2: Do you believe that the current wording of the RTS is clear and sufficient with regard to the content of the order execution policy where an investment firm selects only one execution venue to execute all client orders? Or should the RTS provide for specific criteria to be taken into account when assessing if the selected venue achieves the best possible result in the execution of client orders? Please also</w:t>
      </w:r>
      <w:r w:rsidRPr="00D05CF5">
        <w:rPr>
          <w:b/>
          <w:bCs/>
          <w:color w:val="164194" w:themeColor="text2"/>
          <w:lang w:val="en-GB"/>
        </w:rPr>
        <w:t xml:space="preserve"> state the reasons for your answer. </w:t>
      </w:r>
    </w:p>
    <w:p w14:paraId="4BD0CBB4" w14:textId="77777777" w:rsidR="00510EE4" w:rsidRDefault="00510EE4" w:rsidP="00D05CF5">
      <w:pPr>
        <w:pStyle w:val="AFGTextecourant"/>
        <w:jc w:val="both"/>
        <w:rPr>
          <w:b/>
          <w:bCs/>
          <w:color w:val="164194" w:themeColor="text2"/>
          <w:lang w:val="en-GB"/>
        </w:rPr>
      </w:pPr>
    </w:p>
    <w:p w14:paraId="6E2B00A5" w14:textId="77777777" w:rsidR="000207CE" w:rsidRDefault="00767764" w:rsidP="00510EE4">
      <w:pPr>
        <w:pStyle w:val="AFGTextecourant"/>
        <w:ind w:left="0"/>
        <w:jc w:val="both"/>
        <w:rPr>
          <w:lang w:val="en-GB"/>
        </w:rPr>
      </w:pPr>
      <w:r>
        <w:rPr>
          <w:lang w:val="en-GB"/>
        </w:rPr>
        <w:t xml:space="preserve">Current wording is </w:t>
      </w:r>
      <w:r w:rsidR="000207CE">
        <w:rPr>
          <w:lang w:val="en-GB"/>
        </w:rPr>
        <w:t>clear and sufficient.</w:t>
      </w:r>
    </w:p>
    <w:p w14:paraId="16B05697" w14:textId="3E8E24EA" w:rsidR="00510EE4" w:rsidRPr="003505A2" w:rsidRDefault="00F74B46" w:rsidP="00510EE4">
      <w:pPr>
        <w:pStyle w:val="AFGTextecourant"/>
        <w:ind w:left="0"/>
        <w:jc w:val="both"/>
        <w:rPr>
          <w:lang w:val="en-GB"/>
        </w:rPr>
      </w:pPr>
      <w:r w:rsidRPr="003505A2">
        <w:rPr>
          <w:lang w:val="en-GB"/>
        </w:rPr>
        <w:t>I</w:t>
      </w:r>
      <w:r w:rsidR="00510EE4" w:rsidRPr="003505A2">
        <w:rPr>
          <w:lang w:val="en-GB"/>
        </w:rPr>
        <w:t xml:space="preserve">t is in the clients’ interest that venue selection be part of best execution, based on a clear set of </w:t>
      </w:r>
      <w:r w:rsidR="00143ED6" w:rsidRPr="003505A2">
        <w:rPr>
          <w:lang w:val="en-GB"/>
        </w:rPr>
        <w:t xml:space="preserve">qualitative and quantitative </w:t>
      </w:r>
      <w:r w:rsidR="00510EE4" w:rsidRPr="003505A2">
        <w:rPr>
          <w:lang w:val="en-GB"/>
        </w:rPr>
        <w:t>criteria</w:t>
      </w:r>
      <w:r w:rsidR="00144E26" w:rsidRPr="003505A2">
        <w:rPr>
          <w:lang w:val="en-GB"/>
        </w:rPr>
        <w:t xml:space="preserve"> applicable to all investment firms and </w:t>
      </w:r>
      <w:r w:rsidR="00143ED6" w:rsidRPr="003505A2">
        <w:rPr>
          <w:lang w:val="en-GB"/>
        </w:rPr>
        <w:t xml:space="preserve">totally </w:t>
      </w:r>
      <w:r w:rsidR="00144E26" w:rsidRPr="003505A2">
        <w:rPr>
          <w:lang w:val="en-GB"/>
        </w:rPr>
        <w:t>accessible to clients</w:t>
      </w:r>
      <w:r w:rsidR="00510EE4" w:rsidRPr="003505A2">
        <w:rPr>
          <w:lang w:val="en-GB"/>
        </w:rPr>
        <w:t xml:space="preserve">. </w:t>
      </w:r>
    </w:p>
    <w:p w14:paraId="362A9F6B" w14:textId="53A726A6" w:rsidR="00BA429A" w:rsidRPr="003505A2" w:rsidRDefault="00BA429A" w:rsidP="00510EE4">
      <w:pPr>
        <w:pStyle w:val="AFGTextecourant"/>
        <w:ind w:left="0"/>
        <w:jc w:val="both"/>
        <w:rPr>
          <w:lang w:val="en-GB"/>
        </w:rPr>
      </w:pPr>
      <w:r w:rsidRPr="003505A2">
        <w:rPr>
          <w:lang w:val="en-GB"/>
        </w:rPr>
        <w:t>These criteria will be building blocks of a list of selected venues. A</w:t>
      </w:r>
      <w:r w:rsidR="00EB72E3" w:rsidRPr="003505A2">
        <w:rPr>
          <w:lang w:val="en-GB"/>
        </w:rPr>
        <w:t xml:space="preserve"> venue can appear as eligible for some assets</w:t>
      </w:r>
      <w:r w:rsidRPr="003505A2">
        <w:rPr>
          <w:lang w:val="en-GB"/>
        </w:rPr>
        <w:t xml:space="preserve"> and clients, </w:t>
      </w:r>
      <w:r w:rsidR="00EB72E3" w:rsidRPr="003505A2">
        <w:rPr>
          <w:lang w:val="en-GB"/>
        </w:rPr>
        <w:t>while ineligible for others.</w:t>
      </w:r>
      <w:r w:rsidRPr="003505A2">
        <w:rPr>
          <w:lang w:val="en-GB"/>
        </w:rPr>
        <w:t xml:space="preserve"> And it eventually can appear that the investment firm selects only one venue to execute all client orders. The selection process should not differ, to </w:t>
      </w:r>
      <w:r w:rsidRPr="003505A2">
        <w:rPr>
          <w:lang w:val="en-GB"/>
        </w:rPr>
        <w:lastRenderedPageBreak/>
        <w:t xml:space="preserve">back the validation of a single or multiple venues: this is key in </w:t>
      </w:r>
      <w:r w:rsidR="00F92C08" w:rsidRPr="003505A2">
        <w:rPr>
          <w:lang w:val="en-GB"/>
        </w:rPr>
        <w:t>validating the possible conclusion that only one execution venue is the best choice</w:t>
      </w:r>
      <w:r w:rsidRPr="003505A2">
        <w:rPr>
          <w:lang w:val="en-GB"/>
        </w:rPr>
        <w:t>.</w:t>
      </w:r>
    </w:p>
    <w:p w14:paraId="578CE71A" w14:textId="17E816A6" w:rsidR="00EB72E3" w:rsidRPr="003505A2" w:rsidRDefault="00EB72E3" w:rsidP="00510EE4">
      <w:pPr>
        <w:pStyle w:val="AFGTextecourant"/>
        <w:ind w:left="0"/>
        <w:jc w:val="both"/>
        <w:rPr>
          <w:lang w:val="en-GB"/>
        </w:rPr>
      </w:pPr>
      <w:r w:rsidRPr="003505A2">
        <w:rPr>
          <w:lang w:val="en-GB"/>
        </w:rPr>
        <w:t>This eligibility</w:t>
      </w:r>
      <w:r w:rsidR="00BA429A" w:rsidRPr="003505A2">
        <w:rPr>
          <w:lang w:val="en-GB"/>
        </w:rPr>
        <w:t xml:space="preserve"> list</w:t>
      </w:r>
      <w:r w:rsidRPr="003505A2">
        <w:rPr>
          <w:lang w:val="en-GB"/>
        </w:rPr>
        <w:t xml:space="preserve"> can be amended from time to time.</w:t>
      </w:r>
      <w:r w:rsidR="00FD7D78" w:rsidRPr="003505A2">
        <w:rPr>
          <w:lang w:val="en-GB"/>
        </w:rPr>
        <w:t xml:space="preserve"> </w:t>
      </w:r>
      <w:r w:rsidR="00F92C08" w:rsidRPr="003505A2">
        <w:rPr>
          <w:lang w:val="en-GB"/>
        </w:rPr>
        <w:t>Referring to a single list of criteria is more robust to do so.</w:t>
      </w:r>
    </w:p>
    <w:p w14:paraId="5388C52D" w14:textId="77777777" w:rsidR="00D05CF5" w:rsidRPr="00D05CF5" w:rsidRDefault="00D05CF5" w:rsidP="00085FD2">
      <w:pPr>
        <w:pStyle w:val="AFGTextecourant"/>
        <w:ind w:left="0"/>
        <w:jc w:val="both"/>
        <w:rPr>
          <w:color w:val="164194" w:themeColor="text2"/>
          <w:lang w:val="en-GB"/>
        </w:rPr>
      </w:pPr>
    </w:p>
    <w:p w14:paraId="1345AF0B" w14:textId="77777777" w:rsidR="00D05CF5" w:rsidRDefault="00D05CF5" w:rsidP="00D05CF5">
      <w:pPr>
        <w:pStyle w:val="AFGTextecourant"/>
        <w:jc w:val="both"/>
        <w:rPr>
          <w:b/>
          <w:bCs/>
          <w:color w:val="164194" w:themeColor="text2"/>
          <w:lang w:val="en-GB"/>
        </w:rPr>
      </w:pPr>
      <w:r w:rsidRPr="00510EE4">
        <w:rPr>
          <w:b/>
          <w:bCs/>
          <w:color w:val="164194" w:themeColor="text2"/>
          <w:lang w:val="en-GB"/>
        </w:rPr>
        <w:t>Q3: Do you agree with the proposed factor of “order sizes” respectively for retail and professional clients, to be considered in investment firms’ selection of eligible execution venues in their order execution policy and internal execution arrangements (see Article 4(1)(d)(</w:t>
      </w:r>
      <w:proofErr w:type="spellStart"/>
      <w:r w:rsidRPr="00510EE4">
        <w:rPr>
          <w:b/>
          <w:bCs/>
          <w:color w:val="164194" w:themeColor="text2"/>
          <w:lang w:val="en-GB"/>
        </w:rPr>
        <w:t>i</w:t>
      </w:r>
      <w:proofErr w:type="spellEnd"/>
      <w:r w:rsidRPr="00510EE4">
        <w:rPr>
          <w:b/>
          <w:bCs/>
          <w:color w:val="164194" w:themeColor="text2"/>
          <w:lang w:val="en-GB"/>
        </w:rPr>
        <w:t>) and ii) of the draft RTS)? If not, what alternative factor would you propose?</w:t>
      </w:r>
      <w:r w:rsidRPr="00D05CF5">
        <w:rPr>
          <w:b/>
          <w:bCs/>
          <w:color w:val="164194" w:themeColor="text2"/>
          <w:lang w:val="en-GB"/>
        </w:rPr>
        <w:t xml:space="preserve"> </w:t>
      </w:r>
    </w:p>
    <w:p w14:paraId="2E0385B5" w14:textId="77777777" w:rsidR="00EB72E3" w:rsidRDefault="00EB72E3" w:rsidP="00510EE4">
      <w:pPr>
        <w:pStyle w:val="AFGTextecourant"/>
        <w:ind w:left="0"/>
        <w:jc w:val="both"/>
        <w:rPr>
          <w:sz w:val="22"/>
          <w:szCs w:val="22"/>
          <w:lang w:val="en-GB"/>
        </w:rPr>
      </w:pPr>
    </w:p>
    <w:p w14:paraId="4D27AD66" w14:textId="77777777" w:rsidR="00666CEF" w:rsidRDefault="00666CEF" w:rsidP="00565543">
      <w:pPr>
        <w:pStyle w:val="AFGTextecourant"/>
        <w:ind w:left="0"/>
        <w:jc w:val="both"/>
        <w:rPr>
          <w:lang w:val="en-GB"/>
        </w:rPr>
      </w:pPr>
      <w:r>
        <w:rPr>
          <w:lang w:val="en-GB"/>
        </w:rPr>
        <w:t>We do not agree.</w:t>
      </w:r>
    </w:p>
    <w:p w14:paraId="506196FC" w14:textId="31C42762" w:rsidR="00565543" w:rsidRPr="003505A2" w:rsidRDefault="00565543" w:rsidP="00565543">
      <w:pPr>
        <w:pStyle w:val="AFGTextecourant"/>
        <w:ind w:left="0"/>
        <w:jc w:val="both"/>
        <w:rPr>
          <w:lang w:val="en-GB"/>
        </w:rPr>
      </w:pPr>
      <w:r w:rsidRPr="003505A2">
        <w:rPr>
          <w:lang w:val="en-GB"/>
        </w:rPr>
        <w:t>It is crucial that the order size be considered in light of the characteristics of the market segment in which it is executed.</w:t>
      </w:r>
      <w:r w:rsidR="0018143D" w:rsidRPr="003505A2">
        <w:rPr>
          <w:lang w:val="en-GB"/>
        </w:rPr>
        <w:t xml:space="preserve"> </w:t>
      </w:r>
      <w:r w:rsidRPr="003505A2">
        <w:rPr>
          <w:lang w:val="en-GB"/>
        </w:rPr>
        <w:t>Taking into account order size is all the more important in price-taker markets.</w:t>
      </w:r>
    </w:p>
    <w:p w14:paraId="64ED1174" w14:textId="5F61F2C3" w:rsidR="00565543" w:rsidRPr="003505A2" w:rsidRDefault="00565543" w:rsidP="00510EE4">
      <w:pPr>
        <w:pStyle w:val="AFGTextecourant"/>
        <w:ind w:left="0"/>
        <w:jc w:val="both"/>
        <w:rPr>
          <w:lang w:val="en-GB"/>
        </w:rPr>
      </w:pPr>
      <w:r w:rsidRPr="003505A2">
        <w:rPr>
          <w:lang w:val="en-GB"/>
        </w:rPr>
        <w:t>Execution</w:t>
      </w:r>
      <w:r w:rsidR="00144E26" w:rsidRPr="003505A2">
        <w:rPr>
          <w:lang w:val="en-GB"/>
        </w:rPr>
        <w:t xml:space="preserve"> policy depends on </w:t>
      </w:r>
      <w:r w:rsidR="00F92C08" w:rsidRPr="003505A2">
        <w:rPr>
          <w:lang w:val="en-GB"/>
        </w:rPr>
        <w:t xml:space="preserve">and </w:t>
      </w:r>
      <w:r w:rsidR="00144E26" w:rsidRPr="003505A2">
        <w:rPr>
          <w:lang w:val="en-GB"/>
        </w:rPr>
        <w:t>has to take into account an order size</w:t>
      </w:r>
      <w:r w:rsidR="0018143D" w:rsidRPr="003505A2">
        <w:rPr>
          <w:lang w:val="en-GB"/>
        </w:rPr>
        <w:t>,</w:t>
      </w:r>
      <w:r w:rsidRPr="003505A2">
        <w:rPr>
          <w:lang w:val="en-GB"/>
        </w:rPr>
        <w:t xml:space="preserve"> </w:t>
      </w:r>
      <w:r w:rsidR="0018143D" w:rsidRPr="003505A2">
        <w:rPr>
          <w:lang w:val="en-GB"/>
        </w:rPr>
        <w:t>b</w:t>
      </w:r>
      <w:r w:rsidRPr="003505A2">
        <w:rPr>
          <w:lang w:val="en-GB"/>
        </w:rPr>
        <w:t xml:space="preserve">ut also </w:t>
      </w:r>
      <w:r w:rsidR="00144E26" w:rsidRPr="003505A2">
        <w:rPr>
          <w:lang w:val="en-GB"/>
        </w:rPr>
        <w:t xml:space="preserve">other criteria such as </w:t>
      </w:r>
      <w:r w:rsidR="00F92C08" w:rsidRPr="003505A2">
        <w:rPr>
          <w:lang w:val="en-GB"/>
        </w:rPr>
        <w:t xml:space="preserve">average order size, </w:t>
      </w:r>
      <w:r w:rsidR="00BD5FE5" w:rsidRPr="003505A2">
        <w:rPr>
          <w:lang w:val="en-GB"/>
        </w:rPr>
        <w:t>client</w:t>
      </w:r>
      <w:r w:rsidR="00F92C08" w:rsidRPr="003505A2">
        <w:rPr>
          <w:lang w:val="en-GB"/>
        </w:rPr>
        <w:t xml:space="preserve"> type</w:t>
      </w:r>
      <w:r w:rsidR="00BD5FE5" w:rsidRPr="003505A2">
        <w:rPr>
          <w:lang w:val="en-GB"/>
        </w:rPr>
        <w:t>, asset</w:t>
      </w:r>
      <w:r w:rsidR="00F92C08" w:rsidRPr="003505A2">
        <w:rPr>
          <w:lang w:val="en-GB"/>
        </w:rPr>
        <w:t xml:space="preserve"> class</w:t>
      </w:r>
      <w:r w:rsidR="00BD5FE5" w:rsidRPr="003505A2">
        <w:rPr>
          <w:lang w:val="en-GB"/>
        </w:rPr>
        <w:t xml:space="preserve">, </w:t>
      </w:r>
      <w:r w:rsidR="007711D3">
        <w:rPr>
          <w:lang w:val="en-GB"/>
        </w:rPr>
        <w:t xml:space="preserve">bloc trading / </w:t>
      </w:r>
      <w:r w:rsidR="004D7855" w:rsidRPr="003505A2">
        <w:rPr>
          <w:lang w:val="en-GB"/>
        </w:rPr>
        <w:t>portfolio</w:t>
      </w:r>
      <w:r w:rsidR="0018176D" w:rsidRPr="003505A2">
        <w:rPr>
          <w:lang w:val="en-GB"/>
        </w:rPr>
        <w:t xml:space="preserve"> trading</w:t>
      </w:r>
      <w:r w:rsidR="004D7855" w:rsidRPr="003505A2">
        <w:rPr>
          <w:lang w:val="en-GB"/>
        </w:rPr>
        <w:t xml:space="preserve"> / program trade</w:t>
      </w:r>
      <w:r w:rsidR="0018176D" w:rsidRPr="003505A2">
        <w:rPr>
          <w:lang w:val="en-GB"/>
        </w:rPr>
        <w:t xml:space="preserve"> or not, </w:t>
      </w:r>
      <w:r w:rsidRPr="003505A2">
        <w:rPr>
          <w:lang w:val="en-GB"/>
        </w:rPr>
        <w:t xml:space="preserve">liquidity, </w:t>
      </w:r>
      <w:r w:rsidR="007711D3">
        <w:rPr>
          <w:lang w:val="en-GB"/>
        </w:rPr>
        <w:t xml:space="preserve">frequency, </w:t>
      </w:r>
      <w:r w:rsidR="00085FD2" w:rsidRPr="003505A2">
        <w:rPr>
          <w:lang w:val="en-GB"/>
        </w:rPr>
        <w:t>pricing power, granularity/standardization…)</w:t>
      </w:r>
      <w:r w:rsidR="00F92C08" w:rsidRPr="003505A2">
        <w:rPr>
          <w:lang w:val="en-GB"/>
        </w:rPr>
        <w:t xml:space="preserve">. </w:t>
      </w:r>
    </w:p>
    <w:p w14:paraId="6BF6DF8B" w14:textId="16DC26D1" w:rsidR="00F92C08" w:rsidRPr="003505A2" w:rsidRDefault="00111721" w:rsidP="00510EE4">
      <w:pPr>
        <w:pStyle w:val="AFGTextecourant"/>
        <w:ind w:left="0"/>
        <w:jc w:val="both"/>
        <w:rPr>
          <w:lang w:val="en-GB"/>
        </w:rPr>
      </w:pPr>
      <w:r w:rsidRPr="003505A2">
        <w:rPr>
          <w:lang w:val="en-GB"/>
        </w:rPr>
        <w:t xml:space="preserve">Those are not alternative but complementary elements to choose the right venue. </w:t>
      </w:r>
      <w:r w:rsidR="00565543" w:rsidRPr="003505A2">
        <w:rPr>
          <w:lang w:val="en-GB"/>
        </w:rPr>
        <w:t>The added value of experienced traders, obeying clear and demanding internal process</w:t>
      </w:r>
      <w:r w:rsidRPr="003505A2">
        <w:rPr>
          <w:lang w:val="en-GB"/>
        </w:rPr>
        <w:t xml:space="preserve"> but also knowing their market</w:t>
      </w:r>
      <w:r w:rsidR="00A538EA" w:rsidRPr="003505A2">
        <w:rPr>
          <w:lang w:val="en-GB"/>
        </w:rPr>
        <w:t xml:space="preserve"> specificities (notably how to build/elaborate a pricing on each asset), their counterparties and participant superior expertise on specific instruments</w:t>
      </w:r>
      <w:r w:rsidR="00565543" w:rsidRPr="003505A2">
        <w:rPr>
          <w:lang w:val="en-GB"/>
        </w:rPr>
        <w:t>, are</w:t>
      </w:r>
      <w:r w:rsidR="0018143D" w:rsidRPr="003505A2">
        <w:rPr>
          <w:lang w:val="en-GB"/>
        </w:rPr>
        <w:t xml:space="preserve"> obviously</w:t>
      </w:r>
      <w:r w:rsidR="00565543" w:rsidRPr="003505A2">
        <w:rPr>
          <w:lang w:val="en-GB"/>
        </w:rPr>
        <w:t xml:space="preserve"> decisive to have execution </w:t>
      </w:r>
      <w:r w:rsidRPr="003505A2">
        <w:rPr>
          <w:lang w:val="en-GB"/>
        </w:rPr>
        <w:t>perfectly</w:t>
      </w:r>
      <w:r w:rsidR="00565543" w:rsidRPr="003505A2">
        <w:rPr>
          <w:lang w:val="en-GB"/>
        </w:rPr>
        <w:t xml:space="preserve"> </w:t>
      </w:r>
      <w:r w:rsidR="007711D3">
        <w:rPr>
          <w:lang w:val="en-GB"/>
        </w:rPr>
        <w:t>customized</w:t>
      </w:r>
      <w:r w:rsidR="00565543" w:rsidRPr="003505A2">
        <w:rPr>
          <w:lang w:val="en-GB"/>
        </w:rPr>
        <w:t xml:space="preserve"> to each case. </w:t>
      </w:r>
      <w:r w:rsidR="000207CE">
        <w:rPr>
          <w:lang w:val="en-GB"/>
        </w:rPr>
        <w:t>Excessive guidance on how to conduct their diligence is counter-productive.</w:t>
      </w:r>
    </w:p>
    <w:p w14:paraId="50F34311" w14:textId="77777777" w:rsidR="00D05CF5" w:rsidRPr="00D05CF5" w:rsidRDefault="00D05CF5" w:rsidP="00D05CF5">
      <w:pPr>
        <w:pStyle w:val="AFGTextecourant"/>
        <w:jc w:val="both"/>
        <w:rPr>
          <w:color w:val="164194" w:themeColor="text2"/>
          <w:lang w:val="en-GB"/>
        </w:rPr>
      </w:pPr>
    </w:p>
    <w:p w14:paraId="7358F90F" w14:textId="77777777" w:rsidR="00D05CF5" w:rsidRDefault="00D05CF5" w:rsidP="00D05CF5">
      <w:pPr>
        <w:pStyle w:val="AFGTextecourant"/>
        <w:jc w:val="both"/>
        <w:rPr>
          <w:b/>
          <w:bCs/>
          <w:color w:val="164194" w:themeColor="text2"/>
          <w:lang w:val="en-GB"/>
        </w:rPr>
      </w:pPr>
      <w:r w:rsidRPr="00D05CF5">
        <w:rPr>
          <w:b/>
          <w:bCs/>
          <w:color w:val="164194" w:themeColor="text2"/>
          <w:lang w:val="en-GB"/>
        </w:rPr>
        <w:t xml:space="preserve">Q4: Do you agree with ESMA’s proposals for the specification of the criteria for establishing and assessing the effectiveness of investment firms’ order execution policies? Please also state the reasons for your answer. </w:t>
      </w:r>
    </w:p>
    <w:p w14:paraId="26A8B7CB" w14:textId="77777777" w:rsidR="00443BC5" w:rsidRPr="00D05CF5" w:rsidRDefault="00443BC5" w:rsidP="00D05CF5">
      <w:pPr>
        <w:pStyle w:val="AFGTextecourant"/>
        <w:jc w:val="both"/>
        <w:rPr>
          <w:b/>
          <w:bCs/>
          <w:color w:val="164194" w:themeColor="text2"/>
          <w:lang w:val="en-GB"/>
        </w:rPr>
      </w:pPr>
    </w:p>
    <w:p w14:paraId="4B1D34D6" w14:textId="77777777" w:rsidR="00666CEF" w:rsidRDefault="00666CEF" w:rsidP="0049406C">
      <w:pPr>
        <w:pStyle w:val="AFGTextecourant"/>
        <w:ind w:left="0"/>
        <w:jc w:val="both"/>
        <w:rPr>
          <w:lang w:val="en-GB"/>
        </w:rPr>
      </w:pPr>
      <w:r>
        <w:rPr>
          <w:lang w:val="en-GB"/>
        </w:rPr>
        <w:t>We do not agree.</w:t>
      </w:r>
    </w:p>
    <w:p w14:paraId="73DB2C71" w14:textId="6F0FD10C" w:rsidR="00ED11F9" w:rsidRDefault="00ED11F9" w:rsidP="0049406C">
      <w:pPr>
        <w:pStyle w:val="AFGTextecourant"/>
        <w:ind w:left="0"/>
        <w:jc w:val="both"/>
        <w:rPr>
          <w:lang w:val="en-GB"/>
        </w:rPr>
      </w:pPr>
      <w:r>
        <w:rPr>
          <w:lang w:val="en-GB"/>
        </w:rPr>
        <w:t xml:space="preserve">MiFID II is already </w:t>
      </w:r>
      <w:r w:rsidR="001D18DC">
        <w:rPr>
          <w:lang w:val="en-GB"/>
        </w:rPr>
        <w:t>introducing under Art. 27 a series of stringent requirements in regards to firm’s execution policies.</w:t>
      </w:r>
    </w:p>
    <w:p w14:paraId="13AC5EC5" w14:textId="00AAE8F2" w:rsidR="00DA5F52" w:rsidRPr="003505A2" w:rsidRDefault="00ED11F9" w:rsidP="0049406C">
      <w:pPr>
        <w:pStyle w:val="AFGTextecourant"/>
        <w:ind w:left="0"/>
        <w:jc w:val="both"/>
        <w:rPr>
          <w:lang w:val="en-GB"/>
        </w:rPr>
      </w:pPr>
      <w:r>
        <w:rPr>
          <w:lang w:val="en-GB"/>
        </w:rPr>
        <w:t>In addition, i</w:t>
      </w:r>
      <w:r w:rsidR="00837DBB" w:rsidRPr="003505A2">
        <w:rPr>
          <w:lang w:val="en-GB"/>
        </w:rPr>
        <w:t xml:space="preserve">nvestment firms are very </w:t>
      </w:r>
      <w:r w:rsidR="001D18DC">
        <w:rPr>
          <w:lang w:val="en-GB"/>
        </w:rPr>
        <w:t>serious</w:t>
      </w:r>
      <w:r w:rsidR="001D18DC" w:rsidRPr="003505A2">
        <w:rPr>
          <w:lang w:val="en-GB"/>
        </w:rPr>
        <w:t xml:space="preserve"> </w:t>
      </w:r>
      <w:r w:rsidR="00837DBB" w:rsidRPr="003505A2">
        <w:rPr>
          <w:lang w:val="en-GB"/>
        </w:rPr>
        <w:t xml:space="preserve">– in their own and clients’ interests – </w:t>
      </w:r>
      <w:r w:rsidR="001D18DC">
        <w:rPr>
          <w:lang w:val="en-GB"/>
        </w:rPr>
        <w:t>about</w:t>
      </w:r>
      <w:r w:rsidR="00837DBB" w:rsidRPr="003505A2">
        <w:rPr>
          <w:lang w:val="en-GB"/>
        </w:rPr>
        <w:t xml:space="preserve"> review</w:t>
      </w:r>
      <w:r w:rsidR="001D18DC">
        <w:rPr>
          <w:lang w:val="en-GB"/>
        </w:rPr>
        <w:t>ing</w:t>
      </w:r>
      <w:r w:rsidR="00837DBB" w:rsidRPr="003505A2">
        <w:rPr>
          <w:lang w:val="en-GB"/>
        </w:rPr>
        <w:t xml:space="preserve"> their order policies </w:t>
      </w:r>
      <w:r w:rsidR="001D18DC">
        <w:rPr>
          <w:lang w:val="en-GB"/>
        </w:rPr>
        <w:t xml:space="preserve">to insert </w:t>
      </w:r>
      <w:r w:rsidR="001D18DC" w:rsidRPr="003505A2">
        <w:rPr>
          <w:lang w:val="en-GB"/>
        </w:rPr>
        <w:t xml:space="preserve"> up</w:t>
      </w:r>
      <w:r w:rsidR="001D18DC">
        <w:rPr>
          <w:lang w:val="en-GB"/>
        </w:rPr>
        <w:t xml:space="preserve">dates </w:t>
      </w:r>
      <w:r w:rsidR="001D18DC" w:rsidRPr="003505A2">
        <w:rPr>
          <w:lang w:val="en-GB"/>
        </w:rPr>
        <w:t xml:space="preserve"> or </w:t>
      </w:r>
      <w:r w:rsidR="001D18DC">
        <w:rPr>
          <w:lang w:val="en-GB"/>
        </w:rPr>
        <w:t xml:space="preserve">necessary </w:t>
      </w:r>
      <w:r w:rsidR="001D18DC" w:rsidRPr="003505A2">
        <w:rPr>
          <w:lang w:val="en-GB"/>
        </w:rPr>
        <w:t>adjustment</w:t>
      </w:r>
      <w:r w:rsidR="001D18DC">
        <w:rPr>
          <w:lang w:val="en-GB"/>
        </w:rPr>
        <w:t>s</w:t>
      </w:r>
      <w:r w:rsidR="001D18DC">
        <w:rPr>
          <w:lang w:val="en-GB"/>
        </w:rPr>
        <w:t>.</w:t>
      </w:r>
    </w:p>
    <w:p w14:paraId="6ECA69E3" w14:textId="101B46BD" w:rsidR="00634968" w:rsidRDefault="005647DF" w:rsidP="0049406C">
      <w:pPr>
        <w:pStyle w:val="AFGTextecourant"/>
        <w:ind w:left="0"/>
        <w:jc w:val="both"/>
        <w:rPr>
          <w:lang w:val="en-GB"/>
        </w:rPr>
      </w:pPr>
      <w:r>
        <w:rPr>
          <w:lang w:val="en-GB"/>
        </w:rPr>
        <w:t>As described in the policies, c</w:t>
      </w:r>
      <w:r w:rsidR="00DA5F52" w:rsidRPr="003505A2">
        <w:rPr>
          <w:lang w:val="en-GB"/>
        </w:rPr>
        <w:t>ompliance officers are actively involved and constantly watching</w:t>
      </w:r>
      <w:r w:rsidR="00AB58B1" w:rsidRPr="003505A2">
        <w:rPr>
          <w:lang w:val="en-GB"/>
        </w:rPr>
        <w:t>.</w:t>
      </w:r>
      <w:r w:rsidR="00B121E5">
        <w:rPr>
          <w:lang w:val="en-GB"/>
        </w:rPr>
        <w:t xml:space="preserve"> </w:t>
      </w:r>
      <w:r w:rsidR="00634968">
        <w:rPr>
          <w:lang w:val="en-GB"/>
        </w:rPr>
        <w:t>Internal controls are numerous.</w:t>
      </w:r>
    </w:p>
    <w:p w14:paraId="73100837" w14:textId="07902E02" w:rsidR="00634968" w:rsidRDefault="00634968" w:rsidP="0049406C">
      <w:pPr>
        <w:pStyle w:val="AFGTextecourant"/>
        <w:ind w:left="0"/>
        <w:jc w:val="both"/>
        <w:rPr>
          <w:lang w:val="en-GB"/>
        </w:rPr>
      </w:pPr>
      <w:r>
        <w:rPr>
          <w:lang w:val="en-GB"/>
        </w:rPr>
        <w:t>S</w:t>
      </w:r>
      <w:r w:rsidR="00B121E5" w:rsidRPr="003505A2">
        <w:rPr>
          <w:lang w:val="en-GB"/>
        </w:rPr>
        <w:t xml:space="preserve">ome </w:t>
      </w:r>
      <w:r>
        <w:rPr>
          <w:lang w:val="en-GB"/>
        </w:rPr>
        <w:t>asset managers</w:t>
      </w:r>
      <w:r w:rsidR="00B121E5" w:rsidRPr="003505A2">
        <w:rPr>
          <w:lang w:val="en-GB"/>
        </w:rPr>
        <w:t xml:space="preserve"> have set up analytical tools demonstrating how their execution process offers better prices on ongoing basis</w:t>
      </w:r>
      <w:r w:rsidR="00B121E5">
        <w:rPr>
          <w:lang w:val="en-GB"/>
        </w:rPr>
        <w:t xml:space="preserve">. </w:t>
      </w:r>
    </w:p>
    <w:p w14:paraId="4BCADD29" w14:textId="3C449836" w:rsidR="00634968" w:rsidRDefault="00B121E5" w:rsidP="0049406C">
      <w:pPr>
        <w:pStyle w:val="AFGTextecourant"/>
        <w:ind w:left="0"/>
        <w:jc w:val="both"/>
        <w:rPr>
          <w:lang w:val="en-GB"/>
        </w:rPr>
      </w:pPr>
      <w:r>
        <w:rPr>
          <w:lang w:val="en-GB"/>
        </w:rPr>
        <w:t>S</w:t>
      </w:r>
      <w:r w:rsidR="00634968">
        <w:rPr>
          <w:lang w:val="en-GB"/>
        </w:rPr>
        <w:t>o</w:t>
      </w:r>
      <w:r>
        <w:rPr>
          <w:lang w:val="en-GB"/>
        </w:rPr>
        <w:t xml:space="preserve"> best execution is being </w:t>
      </w:r>
      <w:r w:rsidR="00634968">
        <w:rPr>
          <w:lang w:val="en-GB"/>
        </w:rPr>
        <w:t xml:space="preserve">permanently </w:t>
      </w:r>
      <w:r>
        <w:rPr>
          <w:lang w:val="en-GB"/>
        </w:rPr>
        <w:t>scrutinized</w:t>
      </w:r>
      <w:r w:rsidR="00634968">
        <w:rPr>
          <w:lang w:val="en-GB"/>
        </w:rPr>
        <w:t xml:space="preserve"> and audited, qualitatively and </w:t>
      </w:r>
      <w:proofErr w:type="spellStart"/>
      <w:r w:rsidR="00634968">
        <w:rPr>
          <w:lang w:val="en-GB"/>
        </w:rPr>
        <w:t>quantitatively</w:t>
      </w:r>
      <w:r>
        <w:rPr>
          <w:lang w:val="en-GB"/>
        </w:rPr>
        <w:t>.</w:t>
      </w:r>
      <w:r w:rsidR="00AB58B1" w:rsidRPr="003505A2">
        <w:rPr>
          <w:lang w:val="en-GB"/>
        </w:rPr>
        <w:t>.</w:t>
      </w:r>
      <w:r w:rsidR="005647DF">
        <w:rPr>
          <w:lang w:val="en-GB"/>
        </w:rPr>
        <w:t>The</w:t>
      </w:r>
      <w:proofErr w:type="spellEnd"/>
      <w:r w:rsidR="005647DF">
        <w:rPr>
          <w:lang w:val="en-GB"/>
        </w:rPr>
        <w:t xml:space="preserve"> price, compared to relevant average market price, is one important</w:t>
      </w:r>
      <w:r w:rsidR="005647DF" w:rsidRPr="003505A2">
        <w:rPr>
          <w:lang w:val="en-GB"/>
        </w:rPr>
        <w:t xml:space="preserve"> </w:t>
      </w:r>
      <w:r w:rsidR="00AB58B1" w:rsidRPr="003505A2">
        <w:rPr>
          <w:lang w:val="en-GB"/>
        </w:rPr>
        <w:t>criteria</w:t>
      </w:r>
      <w:r w:rsidR="00634968">
        <w:rPr>
          <w:lang w:val="en-GB"/>
        </w:rPr>
        <w:t xml:space="preserve"> for establishing and </w:t>
      </w:r>
      <w:r w:rsidR="00634968">
        <w:rPr>
          <w:lang w:val="en-GB"/>
        </w:rPr>
        <w:lastRenderedPageBreak/>
        <w:t>assessing the effectiveness of execution policy</w:t>
      </w:r>
      <w:r w:rsidR="00D0486B" w:rsidRPr="003505A2">
        <w:rPr>
          <w:lang w:val="en-GB"/>
        </w:rPr>
        <w:t xml:space="preserve">, but this </w:t>
      </w:r>
      <w:r w:rsidR="00DA5F52" w:rsidRPr="003505A2">
        <w:rPr>
          <w:lang w:val="en-GB"/>
        </w:rPr>
        <w:t xml:space="preserve">(or a similar threshold) </w:t>
      </w:r>
      <w:r w:rsidR="005647DF">
        <w:rPr>
          <w:lang w:val="en-GB"/>
        </w:rPr>
        <w:t xml:space="preserve">taken alone </w:t>
      </w:r>
      <w:r w:rsidR="00D0486B" w:rsidRPr="003505A2">
        <w:rPr>
          <w:lang w:val="en-GB"/>
        </w:rPr>
        <w:t xml:space="preserve">is superficial and insufficient. </w:t>
      </w:r>
    </w:p>
    <w:p w14:paraId="4DC441E2" w14:textId="206839DF" w:rsidR="00D0486B" w:rsidRDefault="00D0486B" w:rsidP="0049406C">
      <w:pPr>
        <w:pStyle w:val="AFGTextecourant"/>
        <w:ind w:left="0"/>
        <w:jc w:val="both"/>
        <w:rPr>
          <w:lang w:val="en-GB"/>
        </w:rPr>
      </w:pPr>
      <w:r w:rsidRPr="003505A2">
        <w:rPr>
          <w:lang w:val="en-GB"/>
        </w:rPr>
        <w:t xml:space="preserve">Market participant quality, speed and likelihood of execution </w:t>
      </w:r>
      <w:r w:rsidR="00666CEF">
        <w:rPr>
          <w:lang w:val="en-GB"/>
        </w:rPr>
        <w:t>– liquidity !-</w:t>
      </w:r>
      <w:r w:rsidR="005647DF">
        <w:rPr>
          <w:lang w:val="en-GB"/>
        </w:rPr>
        <w:t>,</w:t>
      </w:r>
      <w:r w:rsidRPr="003505A2">
        <w:rPr>
          <w:lang w:val="en-GB"/>
        </w:rPr>
        <w:t xml:space="preserve"> settlement</w:t>
      </w:r>
      <w:r w:rsidR="005647DF">
        <w:rPr>
          <w:lang w:val="en-GB"/>
        </w:rPr>
        <w:t xml:space="preserve"> and</w:t>
      </w:r>
      <w:r w:rsidRPr="003505A2">
        <w:rPr>
          <w:lang w:val="en-GB"/>
        </w:rPr>
        <w:t xml:space="preserve"> fees are definitely part of </w:t>
      </w:r>
      <w:r w:rsidR="005647DF">
        <w:rPr>
          <w:lang w:val="en-GB"/>
        </w:rPr>
        <w:t>a sound</w:t>
      </w:r>
      <w:r w:rsidR="005647DF" w:rsidRPr="003505A2">
        <w:rPr>
          <w:lang w:val="en-GB"/>
        </w:rPr>
        <w:t xml:space="preserve"> </w:t>
      </w:r>
      <w:r w:rsidRPr="003505A2">
        <w:rPr>
          <w:lang w:val="en-GB"/>
        </w:rPr>
        <w:t>best execution equation</w:t>
      </w:r>
      <w:r w:rsidR="005647DF">
        <w:rPr>
          <w:lang w:val="en-GB"/>
        </w:rPr>
        <w:t>.</w:t>
      </w:r>
      <w:r w:rsidR="003C52BA">
        <w:rPr>
          <w:lang w:val="en-GB"/>
        </w:rPr>
        <w:t xml:space="preserve"> </w:t>
      </w:r>
    </w:p>
    <w:p w14:paraId="663C3E00" w14:textId="77777777" w:rsidR="00634968" w:rsidRDefault="003C52BA" w:rsidP="0049406C">
      <w:pPr>
        <w:pStyle w:val="AFGTextecourant"/>
        <w:ind w:left="0"/>
        <w:jc w:val="both"/>
        <w:rPr>
          <w:lang w:val="en-GB"/>
        </w:rPr>
      </w:pPr>
      <w:r w:rsidRPr="00DD0965">
        <w:rPr>
          <w:b/>
          <w:bCs/>
          <w:lang w:val="en-GB"/>
        </w:rPr>
        <w:t xml:space="preserve">Historical price re-discovery is a </w:t>
      </w:r>
      <w:proofErr w:type="spellStart"/>
      <w:r w:rsidRPr="00DD0965">
        <w:rPr>
          <w:b/>
          <w:bCs/>
          <w:lang w:val="en-GB"/>
        </w:rPr>
        <w:t>faulse</w:t>
      </w:r>
      <w:proofErr w:type="spellEnd"/>
      <w:r w:rsidRPr="00DD0965">
        <w:rPr>
          <w:b/>
          <w:bCs/>
          <w:lang w:val="en-GB"/>
        </w:rPr>
        <w:t xml:space="preserve"> cognate, difficult to well build and potentially misleading</w:t>
      </w:r>
      <w:r w:rsidR="002E4E86">
        <w:rPr>
          <w:lang w:val="en-GB"/>
        </w:rPr>
        <w:t xml:space="preserve"> (we wish</w:t>
      </w:r>
      <w:r w:rsidR="00666CEF">
        <w:rPr>
          <w:lang w:val="en-GB"/>
        </w:rPr>
        <w:t>,</w:t>
      </w:r>
      <w:r w:rsidR="002E4E86">
        <w:rPr>
          <w:lang w:val="en-GB"/>
        </w:rPr>
        <w:t xml:space="preserve"> past prices were indicative of current ones…)</w:t>
      </w:r>
      <w:r>
        <w:rPr>
          <w:lang w:val="en-GB"/>
        </w:rPr>
        <w:t xml:space="preserve">. </w:t>
      </w:r>
    </w:p>
    <w:p w14:paraId="71162FFD" w14:textId="2C0F6902" w:rsidR="003C52BA" w:rsidRPr="00DD0965" w:rsidRDefault="003C52BA" w:rsidP="0049406C">
      <w:pPr>
        <w:pStyle w:val="AFGTextecourant"/>
        <w:ind w:left="0"/>
        <w:jc w:val="both"/>
        <w:rPr>
          <w:b/>
          <w:bCs/>
          <w:lang w:val="en-GB"/>
        </w:rPr>
      </w:pPr>
      <w:r w:rsidRPr="00DD0965">
        <w:rPr>
          <w:b/>
          <w:bCs/>
          <w:lang w:val="en-GB"/>
        </w:rPr>
        <w:t>Cost-benefit analysis will knock down this idea</w:t>
      </w:r>
      <w:r w:rsidR="002E4E86" w:rsidRPr="00DD0965">
        <w:rPr>
          <w:b/>
          <w:bCs/>
          <w:lang w:val="en-GB"/>
        </w:rPr>
        <w:t xml:space="preserve">. </w:t>
      </w:r>
    </w:p>
    <w:p w14:paraId="038313DB" w14:textId="7C7B2D63" w:rsidR="00634968" w:rsidRDefault="00634968" w:rsidP="00634968">
      <w:pPr>
        <w:pStyle w:val="AFGTextecourant"/>
        <w:ind w:left="0"/>
        <w:jc w:val="both"/>
        <w:rPr>
          <w:lang w:val="en-GB"/>
        </w:rPr>
      </w:pPr>
      <w:r w:rsidRPr="003505A2">
        <w:rPr>
          <w:lang w:val="en-GB"/>
        </w:rPr>
        <w:t xml:space="preserve">Consolidated Tape (CT) is not panacea for this </w:t>
      </w:r>
      <w:r>
        <w:rPr>
          <w:lang w:val="en-GB"/>
        </w:rPr>
        <w:t>data collection</w:t>
      </w:r>
      <w:r w:rsidRPr="003505A2">
        <w:rPr>
          <w:lang w:val="en-GB"/>
        </w:rPr>
        <w:t>. It is useful</w:t>
      </w:r>
      <w:r>
        <w:rPr>
          <w:lang w:val="en-GB"/>
        </w:rPr>
        <w:t xml:space="preserve"> (more for bonds than for equities, benefiting from a fair transparency. TRACE in the USA is a good tool)</w:t>
      </w:r>
      <w:r w:rsidRPr="003505A2">
        <w:rPr>
          <w:lang w:val="en-GB"/>
        </w:rPr>
        <w:t xml:space="preserve"> but is not flawless (ex: several waivers excluding transactions</w:t>
      </w:r>
      <w:r>
        <w:rPr>
          <w:lang w:val="en-GB"/>
        </w:rPr>
        <w:t>, necessary balance between transparency and confidentiality of open interests in less liquid fixed income markets…</w:t>
      </w:r>
      <w:r w:rsidRPr="003505A2">
        <w:rPr>
          <w:lang w:val="en-GB"/>
        </w:rPr>
        <w:t>). CT should not become compulsory nor be qualified as preferred source: it is one source of data amongst others and</w:t>
      </w:r>
      <w:r>
        <w:rPr>
          <w:lang w:val="en-GB"/>
        </w:rPr>
        <w:t xml:space="preserve"> </w:t>
      </w:r>
      <w:r w:rsidRPr="003505A2">
        <w:rPr>
          <w:lang w:val="en-GB"/>
        </w:rPr>
        <w:t xml:space="preserve">alternative </w:t>
      </w:r>
      <w:r>
        <w:rPr>
          <w:lang w:val="en-GB"/>
        </w:rPr>
        <w:t xml:space="preserve">sound </w:t>
      </w:r>
      <w:r w:rsidRPr="003505A2">
        <w:rPr>
          <w:lang w:val="en-GB"/>
        </w:rPr>
        <w:t xml:space="preserve">datasets must be put on an equal footing. </w:t>
      </w:r>
      <w:r>
        <w:rPr>
          <w:lang w:val="en-GB"/>
        </w:rPr>
        <w:t xml:space="preserve">Also, beware </w:t>
      </w:r>
      <w:r w:rsidR="005647DF">
        <w:rPr>
          <w:lang w:val="en-GB"/>
        </w:rPr>
        <w:t xml:space="preserve">of creating </w:t>
      </w:r>
      <w:r>
        <w:rPr>
          <w:lang w:val="en-GB"/>
        </w:rPr>
        <w:t xml:space="preserve">potential data supply monopolies, here; there are pros and cons about unicity of CTP. </w:t>
      </w:r>
    </w:p>
    <w:p w14:paraId="569D5CBF" w14:textId="2C6C5004" w:rsidR="00634968" w:rsidRDefault="00634968" w:rsidP="00634968">
      <w:pPr>
        <w:pStyle w:val="AFGTextecourant"/>
        <w:ind w:left="0"/>
        <w:jc w:val="both"/>
        <w:rPr>
          <w:lang w:val="en-US"/>
        </w:rPr>
      </w:pPr>
      <w:r w:rsidRPr="00834709">
        <w:rPr>
          <w:lang w:val="en-US"/>
        </w:rPr>
        <w:t xml:space="preserve">We don’t know yet the </w:t>
      </w:r>
      <w:r w:rsidR="005647DF">
        <w:rPr>
          <w:lang w:val="en-US"/>
        </w:rPr>
        <w:t>quality</w:t>
      </w:r>
      <w:r w:rsidRPr="00834709">
        <w:rPr>
          <w:lang w:val="en-US"/>
        </w:rPr>
        <w:t xml:space="preserve"> of the CT</w:t>
      </w:r>
      <w:r w:rsidR="005647DF">
        <w:rPr>
          <w:lang w:val="en-US"/>
        </w:rPr>
        <w:t>s to be created and</w:t>
      </w:r>
      <w:r w:rsidRPr="00834709">
        <w:rPr>
          <w:lang w:val="en-US"/>
        </w:rPr>
        <w:t xml:space="preserve"> if </w:t>
      </w:r>
      <w:r w:rsidR="005647DF">
        <w:rPr>
          <w:lang w:val="en-US"/>
        </w:rPr>
        <w:t>they</w:t>
      </w:r>
      <w:r w:rsidRPr="00834709">
        <w:rPr>
          <w:lang w:val="en-US"/>
        </w:rPr>
        <w:t xml:space="preserve"> will provide reliable data, on a reasonable cost basis </w:t>
      </w:r>
      <w:r w:rsidR="005647DF">
        <w:rPr>
          <w:lang w:val="en-US"/>
        </w:rPr>
        <w:t>and</w:t>
      </w:r>
      <w:r w:rsidRPr="00834709">
        <w:rPr>
          <w:lang w:val="en-US"/>
        </w:rPr>
        <w:t xml:space="preserve"> the data will be </w:t>
      </w:r>
      <w:r>
        <w:rPr>
          <w:lang w:val="en-US"/>
        </w:rPr>
        <w:t xml:space="preserve">swiftly </w:t>
      </w:r>
      <w:r w:rsidRPr="00834709">
        <w:rPr>
          <w:lang w:val="en-US"/>
        </w:rPr>
        <w:t>ava</w:t>
      </w:r>
      <w:r>
        <w:rPr>
          <w:lang w:val="en-US"/>
        </w:rPr>
        <w:t>ilabl</w:t>
      </w:r>
      <w:r w:rsidRPr="00834709">
        <w:rPr>
          <w:lang w:val="en-US"/>
        </w:rPr>
        <w:t>e.</w:t>
      </w:r>
    </w:p>
    <w:p w14:paraId="6DFC0152" w14:textId="7C767B68" w:rsidR="00634968" w:rsidRPr="00834709" w:rsidRDefault="00634968" w:rsidP="00634968">
      <w:pPr>
        <w:pStyle w:val="AFGTextecourant"/>
        <w:ind w:left="0"/>
        <w:jc w:val="both"/>
        <w:rPr>
          <w:lang w:val="en-US"/>
        </w:rPr>
      </w:pPr>
      <w:r w:rsidRPr="00834709">
        <w:rPr>
          <w:lang w:val="en-US"/>
        </w:rPr>
        <w:t xml:space="preserve">CT </w:t>
      </w:r>
      <w:proofErr w:type="spellStart"/>
      <w:r w:rsidR="005647DF">
        <w:rPr>
          <w:lang w:val="en-US"/>
        </w:rPr>
        <w:t>can</w:t>
      </w:r>
      <w:proofErr w:type="spellEnd"/>
      <w:r w:rsidR="005647DF">
        <w:rPr>
          <w:lang w:val="en-US"/>
        </w:rPr>
        <w:t xml:space="preserve"> deliver</w:t>
      </w:r>
      <w:r>
        <w:rPr>
          <w:lang w:val="en-US"/>
        </w:rPr>
        <w:t xml:space="preserve"> </w:t>
      </w:r>
      <w:r w:rsidRPr="00834709">
        <w:rPr>
          <w:lang w:val="en-US"/>
        </w:rPr>
        <w:t xml:space="preserve">redundant </w:t>
      </w:r>
      <w:r>
        <w:rPr>
          <w:lang w:val="en-US"/>
        </w:rPr>
        <w:t xml:space="preserve">or inadequate (disproportionate) </w:t>
      </w:r>
      <w:r w:rsidR="005647DF">
        <w:rPr>
          <w:lang w:val="en-US"/>
        </w:rPr>
        <w:t xml:space="preserve">information </w:t>
      </w:r>
      <w:r w:rsidRPr="00834709">
        <w:rPr>
          <w:lang w:val="en-US"/>
        </w:rPr>
        <w:t xml:space="preserve">for asset </w:t>
      </w:r>
      <w:r w:rsidR="005647DF" w:rsidRPr="00834709">
        <w:rPr>
          <w:lang w:val="en-US"/>
        </w:rPr>
        <w:t>managers</w:t>
      </w:r>
      <w:r w:rsidR="005647DF">
        <w:rPr>
          <w:lang w:val="en-US"/>
        </w:rPr>
        <w:t xml:space="preserve"> relying already on alternative data sources and data providers.</w:t>
      </w:r>
      <w:r w:rsidR="005647DF" w:rsidRPr="00834709">
        <w:rPr>
          <w:lang w:val="en-US"/>
        </w:rPr>
        <w:t xml:space="preserve"> </w:t>
      </w:r>
      <w:r w:rsidR="005647DF">
        <w:rPr>
          <w:lang w:val="en-US"/>
        </w:rPr>
        <w:t>C</w:t>
      </w:r>
      <w:r w:rsidR="005647DF">
        <w:rPr>
          <w:lang w:val="en-US"/>
        </w:rPr>
        <w:t xml:space="preserve">T again would only </w:t>
      </w:r>
      <w:r w:rsidR="005647DF" w:rsidRPr="00834709">
        <w:rPr>
          <w:lang w:val="en-US"/>
        </w:rPr>
        <w:t>add</w:t>
      </w:r>
      <w:r w:rsidRPr="00834709">
        <w:rPr>
          <w:lang w:val="en-US"/>
        </w:rPr>
        <w:t xml:space="preserve"> unnecessary costs</w:t>
      </w:r>
      <w:r>
        <w:rPr>
          <w:lang w:val="en-US"/>
        </w:rPr>
        <w:t xml:space="preserve"> notably on main equity markets</w:t>
      </w:r>
      <w:r w:rsidRPr="00834709">
        <w:rPr>
          <w:lang w:val="en-US"/>
        </w:rPr>
        <w:t xml:space="preserve">. Any requirement to prove that an alternative dataset to the CT presents the same data quality </w:t>
      </w:r>
      <w:r w:rsidR="009912C5">
        <w:rPr>
          <w:lang w:val="en-US"/>
        </w:rPr>
        <w:t xml:space="preserve">is misplaced and </w:t>
      </w:r>
      <w:r w:rsidRPr="00834709">
        <w:rPr>
          <w:lang w:val="en-US"/>
        </w:rPr>
        <w:t xml:space="preserve">should be </w:t>
      </w:r>
      <w:r>
        <w:rPr>
          <w:lang w:val="en-US"/>
        </w:rPr>
        <w:t>deleted.</w:t>
      </w:r>
    </w:p>
    <w:p w14:paraId="77CBA33E" w14:textId="1690CD72" w:rsidR="00634968" w:rsidRPr="003505A2" w:rsidRDefault="00634968" w:rsidP="00634968">
      <w:pPr>
        <w:pStyle w:val="AFGTextecourant"/>
        <w:ind w:left="0"/>
        <w:jc w:val="both"/>
        <w:rPr>
          <w:lang w:val="en-GB"/>
        </w:rPr>
      </w:pPr>
      <w:r>
        <w:rPr>
          <w:lang w:val="en-GB"/>
        </w:rPr>
        <w:t xml:space="preserve">Lastly, </w:t>
      </w:r>
      <w:proofErr w:type="spellStart"/>
      <w:r w:rsidRPr="00834709">
        <w:rPr>
          <w:lang w:val="en-US"/>
        </w:rPr>
        <w:t>MiFIR</w:t>
      </w:r>
      <w:proofErr w:type="spellEnd"/>
      <w:r w:rsidRPr="00834709">
        <w:rPr>
          <w:lang w:val="en-US"/>
        </w:rPr>
        <w:t xml:space="preserve"> level 1 does not provide for a mandatory use</w:t>
      </w:r>
      <w:r w:rsidRPr="003505A2">
        <w:rPr>
          <w:lang w:val="en-GB"/>
        </w:rPr>
        <w:t xml:space="preserve"> of CT</w:t>
      </w:r>
      <w:r w:rsidR="009912C5" w:rsidRPr="003505A2">
        <w:rPr>
          <w:lang w:val="en-GB"/>
        </w:rPr>
        <w:t>.</w:t>
      </w:r>
      <w:r w:rsidR="009912C5">
        <w:rPr>
          <w:lang w:val="en-GB"/>
        </w:rPr>
        <w:t xml:space="preserve"> Consequently Level 2 regulation cannot go beyond.</w:t>
      </w:r>
    </w:p>
    <w:p w14:paraId="6F18E8AB" w14:textId="77777777" w:rsidR="00634968" w:rsidRDefault="00634968" w:rsidP="0049406C">
      <w:pPr>
        <w:pStyle w:val="AFGTextecourant"/>
        <w:ind w:left="0"/>
        <w:jc w:val="both"/>
        <w:rPr>
          <w:lang w:val="en-GB"/>
        </w:rPr>
      </w:pPr>
    </w:p>
    <w:p w14:paraId="5758EF51" w14:textId="771924BA" w:rsidR="006001FD" w:rsidRPr="003505A2" w:rsidRDefault="00443BC5" w:rsidP="0049406C">
      <w:pPr>
        <w:pStyle w:val="AFGTextecourant"/>
        <w:ind w:left="0"/>
        <w:jc w:val="both"/>
        <w:rPr>
          <w:lang w:val="en-GB"/>
        </w:rPr>
      </w:pPr>
      <w:r w:rsidRPr="003505A2">
        <w:rPr>
          <w:lang w:val="en-GB"/>
        </w:rPr>
        <w:t xml:space="preserve">We believe that an annual assessment of the execution policy effectiveness is optimal, in that it induces a reasonably long period to draw well-built conclusions </w:t>
      </w:r>
      <w:r w:rsidR="00143ED6" w:rsidRPr="003505A2">
        <w:rPr>
          <w:lang w:val="en-GB"/>
        </w:rPr>
        <w:t>based on representative data samples. Such a frequency also</w:t>
      </w:r>
      <w:r w:rsidRPr="003505A2">
        <w:rPr>
          <w:lang w:val="en-GB"/>
        </w:rPr>
        <w:t xml:space="preserve"> avoids too frequent </w:t>
      </w:r>
      <w:r w:rsidR="00143ED6" w:rsidRPr="003505A2">
        <w:rPr>
          <w:lang w:val="en-GB"/>
        </w:rPr>
        <w:t>time-consuming</w:t>
      </w:r>
      <w:r w:rsidRPr="003505A2">
        <w:rPr>
          <w:lang w:val="en-GB"/>
        </w:rPr>
        <w:t xml:space="preserve"> works.</w:t>
      </w:r>
      <w:r w:rsidR="00DA5F52" w:rsidRPr="003505A2">
        <w:rPr>
          <w:lang w:val="en-GB"/>
        </w:rPr>
        <w:t xml:space="preserve"> Investment firms are </w:t>
      </w:r>
      <w:r w:rsidR="005647DF">
        <w:rPr>
          <w:lang w:val="en-GB"/>
        </w:rPr>
        <w:t>willing</w:t>
      </w:r>
      <w:r w:rsidR="005647DF" w:rsidRPr="003505A2">
        <w:rPr>
          <w:lang w:val="en-GB"/>
        </w:rPr>
        <w:t xml:space="preserve"> </w:t>
      </w:r>
      <w:r w:rsidR="00DA5F52" w:rsidRPr="003505A2">
        <w:rPr>
          <w:lang w:val="en-GB"/>
        </w:rPr>
        <w:t xml:space="preserve">to </w:t>
      </w:r>
      <w:r w:rsidR="005647DF">
        <w:rPr>
          <w:lang w:val="en-GB"/>
        </w:rPr>
        <w:t>perform</w:t>
      </w:r>
      <w:r w:rsidR="005647DF" w:rsidRPr="003505A2">
        <w:rPr>
          <w:lang w:val="en-GB"/>
        </w:rPr>
        <w:t xml:space="preserve"> </w:t>
      </w:r>
      <w:r w:rsidR="00DA5F52" w:rsidRPr="003505A2">
        <w:rPr>
          <w:lang w:val="en-GB"/>
        </w:rPr>
        <w:t xml:space="preserve">more frequent analysis </w:t>
      </w:r>
      <w:r w:rsidR="005647DF">
        <w:rPr>
          <w:lang w:val="en-GB"/>
        </w:rPr>
        <w:t>where</w:t>
      </w:r>
      <w:r w:rsidR="00DA5F52" w:rsidRPr="003505A2">
        <w:rPr>
          <w:lang w:val="en-GB"/>
        </w:rPr>
        <w:t xml:space="preserve"> the volume and/or seasonality of their transactions</w:t>
      </w:r>
      <w:r w:rsidR="005647DF">
        <w:rPr>
          <w:lang w:val="en-GB"/>
        </w:rPr>
        <w:t xml:space="preserve"> would</w:t>
      </w:r>
      <w:r w:rsidR="00DA5F52" w:rsidRPr="003505A2">
        <w:rPr>
          <w:lang w:val="en-GB"/>
        </w:rPr>
        <w:t xml:space="preserve"> require it.</w:t>
      </w:r>
      <w:r w:rsidR="006001FD" w:rsidRPr="003505A2">
        <w:rPr>
          <w:lang w:val="en-GB"/>
        </w:rPr>
        <w:t xml:space="preserve"> </w:t>
      </w:r>
    </w:p>
    <w:p w14:paraId="0A8E7B76" w14:textId="2802C17F" w:rsidR="00D05CF5" w:rsidRPr="003505A2" w:rsidRDefault="006001FD" w:rsidP="0049406C">
      <w:pPr>
        <w:pStyle w:val="AFGTextecourant"/>
        <w:ind w:left="0"/>
        <w:jc w:val="both"/>
        <w:rPr>
          <w:lang w:val="en-GB"/>
        </w:rPr>
      </w:pPr>
      <w:r w:rsidRPr="003505A2">
        <w:rPr>
          <w:lang w:val="en-GB"/>
        </w:rPr>
        <w:t>So we disagree with a 3month compulsory assessment period.</w:t>
      </w:r>
    </w:p>
    <w:p w14:paraId="2DDDA2EF" w14:textId="77777777" w:rsidR="005647DF" w:rsidRPr="003505A2" w:rsidRDefault="005647DF" w:rsidP="005647DF">
      <w:pPr>
        <w:spacing w:before="120" w:after="0" w:line="240" w:lineRule="auto"/>
        <w:jc w:val="both"/>
        <w:rPr>
          <w:sz w:val="20"/>
          <w:szCs w:val="20"/>
          <w:lang w:val="en-GB"/>
        </w:rPr>
      </w:pPr>
      <w:r w:rsidRPr="003505A2">
        <w:rPr>
          <w:sz w:val="20"/>
          <w:szCs w:val="20"/>
          <w:lang w:val="en-GB"/>
        </w:rPr>
        <w:t xml:space="preserve">Automated order routing systems are internally validated and audited. We agree that </w:t>
      </w:r>
      <w:r>
        <w:rPr>
          <w:sz w:val="20"/>
          <w:szCs w:val="20"/>
          <w:lang w:val="en-GB"/>
        </w:rPr>
        <w:t xml:space="preserve"> their existence and use may be </w:t>
      </w:r>
      <w:proofErr w:type="spellStart"/>
      <w:r w:rsidRPr="003505A2">
        <w:rPr>
          <w:sz w:val="20"/>
          <w:szCs w:val="20"/>
          <w:lang w:val="en-GB"/>
        </w:rPr>
        <w:t>be</w:t>
      </w:r>
      <w:proofErr w:type="spellEnd"/>
      <w:r w:rsidRPr="003505A2">
        <w:rPr>
          <w:sz w:val="20"/>
          <w:szCs w:val="20"/>
          <w:lang w:val="en-GB"/>
        </w:rPr>
        <w:t xml:space="preserve"> described in policies.</w:t>
      </w:r>
    </w:p>
    <w:p w14:paraId="0DC0211A" w14:textId="77777777" w:rsidR="00AA2B29" w:rsidRDefault="00AA2B29" w:rsidP="00D05CF5">
      <w:pPr>
        <w:pStyle w:val="AFGTextecourant"/>
        <w:jc w:val="both"/>
        <w:rPr>
          <w:b/>
          <w:bCs/>
          <w:color w:val="164194" w:themeColor="text2"/>
          <w:lang w:val="en-GB"/>
        </w:rPr>
      </w:pPr>
    </w:p>
    <w:p w14:paraId="375799E7" w14:textId="232CEE56" w:rsidR="00D05CF5" w:rsidRPr="00D05CF5" w:rsidRDefault="00D05CF5" w:rsidP="00D05CF5">
      <w:pPr>
        <w:pStyle w:val="AFGTextecourant"/>
        <w:jc w:val="both"/>
        <w:rPr>
          <w:b/>
          <w:bCs/>
          <w:color w:val="164194" w:themeColor="text2"/>
          <w:lang w:val="en-GB"/>
        </w:rPr>
      </w:pPr>
      <w:r w:rsidRPr="00443BC5">
        <w:rPr>
          <w:b/>
          <w:bCs/>
          <w:color w:val="164194" w:themeColor="text2"/>
          <w:lang w:val="en-GB"/>
        </w:rPr>
        <w:t>Q5: Do you agree with ESMA’s proposal that investment firms may rely on monitoring and assessments performed by third parties, such as independent data providers, as long as firms assess the processes of these third parties? Please also state the reasons for your answer</w:t>
      </w:r>
      <w:r w:rsidRPr="00D05CF5">
        <w:rPr>
          <w:b/>
          <w:bCs/>
          <w:color w:val="164194" w:themeColor="text2"/>
          <w:lang w:val="en-GB"/>
        </w:rPr>
        <w:t xml:space="preserve">. </w:t>
      </w:r>
    </w:p>
    <w:p w14:paraId="5C5D46E9" w14:textId="77777777" w:rsidR="00D05CF5" w:rsidRDefault="00D05CF5" w:rsidP="00D05CF5">
      <w:pPr>
        <w:pStyle w:val="AFGTextecourant"/>
        <w:jc w:val="both"/>
        <w:rPr>
          <w:color w:val="164194" w:themeColor="text2"/>
          <w:lang w:val="en-GB"/>
        </w:rPr>
      </w:pPr>
    </w:p>
    <w:p w14:paraId="59CC4C70" w14:textId="1409C12B" w:rsidR="00D0486B" w:rsidRPr="003505A2" w:rsidRDefault="00443BC5" w:rsidP="00443BC5">
      <w:pPr>
        <w:pStyle w:val="AFGTextecourant"/>
        <w:ind w:left="0"/>
        <w:jc w:val="both"/>
        <w:rPr>
          <w:lang w:val="en-GB"/>
        </w:rPr>
      </w:pPr>
      <w:r w:rsidRPr="003505A2">
        <w:rPr>
          <w:lang w:val="en-GB"/>
        </w:rPr>
        <w:t xml:space="preserve">We agree that monitoring and assessment can be performed by </w:t>
      </w:r>
      <w:r w:rsidR="00DA5F52" w:rsidRPr="003505A2">
        <w:rPr>
          <w:lang w:val="en-GB"/>
        </w:rPr>
        <w:t>independent*</w:t>
      </w:r>
      <w:r w:rsidRPr="003505A2">
        <w:rPr>
          <w:lang w:val="en-GB"/>
        </w:rPr>
        <w:t xml:space="preserve"> third parties. </w:t>
      </w:r>
    </w:p>
    <w:p w14:paraId="4792265E" w14:textId="70156130" w:rsidR="00D0486B" w:rsidRPr="003505A2" w:rsidRDefault="00DA5F52" w:rsidP="00443BC5">
      <w:pPr>
        <w:pStyle w:val="AFGTextecourant"/>
        <w:ind w:left="0"/>
        <w:jc w:val="both"/>
        <w:rPr>
          <w:lang w:val="en-GB"/>
        </w:rPr>
      </w:pPr>
      <w:r w:rsidRPr="003505A2">
        <w:rPr>
          <w:lang w:val="en-GB"/>
        </w:rPr>
        <w:t>(*</w:t>
      </w:r>
      <w:r w:rsidR="00443BC5" w:rsidRPr="003505A2">
        <w:rPr>
          <w:lang w:val="en-GB"/>
        </w:rPr>
        <w:t xml:space="preserve">These providers should hence not be </w:t>
      </w:r>
      <w:proofErr w:type="spellStart"/>
      <w:r w:rsidR="00443BC5" w:rsidRPr="003505A2">
        <w:rPr>
          <w:lang w:val="en-GB"/>
        </w:rPr>
        <w:t>payed</w:t>
      </w:r>
      <w:proofErr w:type="spellEnd"/>
      <w:r w:rsidR="00443BC5" w:rsidRPr="003505A2">
        <w:rPr>
          <w:lang w:val="en-GB"/>
        </w:rPr>
        <w:t xml:space="preserve"> by the investment firms.</w:t>
      </w:r>
      <w:r w:rsidRPr="003505A2">
        <w:rPr>
          <w:lang w:val="en-GB"/>
        </w:rPr>
        <w:t>)</w:t>
      </w:r>
      <w:r w:rsidR="00443BC5" w:rsidRPr="003505A2">
        <w:rPr>
          <w:lang w:val="en-GB"/>
        </w:rPr>
        <w:t xml:space="preserve"> </w:t>
      </w:r>
    </w:p>
    <w:p w14:paraId="0E76EDCB" w14:textId="0E066743" w:rsidR="00E477B7" w:rsidRPr="003505A2" w:rsidRDefault="00443BC5" w:rsidP="00443BC5">
      <w:pPr>
        <w:pStyle w:val="AFGTextecourant"/>
        <w:ind w:left="0"/>
        <w:jc w:val="both"/>
        <w:rPr>
          <w:lang w:val="en-GB"/>
        </w:rPr>
      </w:pPr>
      <w:r w:rsidRPr="003505A2">
        <w:rPr>
          <w:lang w:val="en-GB"/>
        </w:rPr>
        <w:lastRenderedPageBreak/>
        <w:t xml:space="preserve">In the sake of objectivity, we also recommend that the monitoring and assessment process be </w:t>
      </w:r>
      <w:r w:rsidR="00E477B7" w:rsidRPr="003505A2">
        <w:rPr>
          <w:lang w:val="en-GB"/>
        </w:rPr>
        <w:t xml:space="preserve">unique and similar for all </w:t>
      </w:r>
      <w:r w:rsidR="00DB60EA" w:rsidRPr="003505A2">
        <w:rPr>
          <w:lang w:val="en-GB"/>
        </w:rPr>
        <w:t xml:space="preserve">investment </w:t>
      </w:r>
      <w:r w:rsidR="00E477B7" w:rsidRPr="003505A2">
        <w:rPr>
          <w:lang w:val="en-GB"/>
        </w:rPr>
        <w:t>firms</w:t>
      </w:r>
      <w:r w:rsidR="00DB60EA" w:rsidRPr="003505A2">
        <w:rPr>
          <w:lang w:val="en-GB"/>
        </w:rPr>
        <w:t>, obeying guidance from</w:t>
      </w:r>
      <w:r w:rsidR="00E477B7" w:rsidRPr="003505A2">
        <w:rPr>
          <w:lang w:val="en-GB"/>
        </w:rPr>
        <w:t xml:space="preserve"> ESMA.</w:t>
      </w:r>
    </w:p>
    <w:p w14:paraId="0E6AB2A0" w14:textId="77777777" w:rsidR="00DB60EA" w:rsidRPr="003505A2" w:rsidRDefault="00DA5F52" w:rsidP="00DA5F52">
      <w:pPr>
        <w:pStyle w:val="AFGTextecourant"/>
        <w:ind w:left="0"/>
        <w:jc w:val="both"/>
        <w:rPr>
          <w:lang w:val="en-GB"/>
        </w:rPr>
      </w:pPr>
      <w:r w:rsidRPr="003505A2">
        <w:rPr>
          <w:lang w:val="en-GB"/>
        </w:rPr>
        <w:t xml:space="preserve">An undisputable record of prices at the moment of execution is a must. But historical data analysis will not fairly support good (or bad) execution. </w:t>
      </w:r>
    </w:p>
    <w:p w14:paraId="00E5624F" w14:textId="77777777" w:rsidR="00443BC5" w:rsidRPr="00D05CF5" w:rsidRDefault="00443BC5" w:rsidP="00D05CF5">
      <w:pPr>
        <w:pStyle w:val="AFGTextecourant"/>
        <w:jc w:val="both"/>
        <w:rPr>
          <w:color w:val="164194" w:themeColor="text2"/>
          <w:lang w:val="en-GB"/>
        </w:rPr>
      </w:pPr>
    </w:p>
    <w:p w14:paraId="36B80AA9" w14:textId="77777777" w:rsidR="00D05CF5" w:rsidRPr="00D05CF5" w:rsidRDefault="00D05CF5" w:rsidP="00D05CF5">
      <w:pPr>
        <w:pStyle w:val="AFGTextecourant"/>
        <w:jc w:val="both"/>
        <w:rPr>
          <w:b/>
          <w:bCs/>
          <w:color w:val="164194" w:themeColor="text2"/>
          <w:lang w:val="en-GB"/>
        </w:rPr>
      </w:pPr>
      <w:r w:rsidRPr="00D05CF5">
        <w:rPr>
          <w:b/>
          <w:bCs/>
          <w:color w:val="164194" w:themeColor="text2"/>
          <w:lang w:val="en-GB"/>
        </w:rPr>
        <w:t xml:space="preserve">Q6: Concerning the specific client instruction, should it be possible for an investment firm to pre-select an execution venue in the order screen, where the firm invites its clients to choose an executing venue out of multiple options? And if so, do you agree that only if the client chooses a different venue than the one pre-selected by the firm, the choice of execution venue does constitute a specific instruction? Please also state the reasons for your answer. </w:t>
      </w:r>
    </w:p>
    <w:p w14:paraId="751DBB58" w14:textId="77777777" w:rsidR="00D05CF5" w:rsidRDefault="00D05CF5" w:rsidP="00D05CF5">
      <w:pPr>
        <w:pStyle w:val="AFGTextecourant"/>
        <w:jc w:val="both"/>
        <w:rPr>
          <w:color w:val="164194" w:themeColor="text2"/>
          <w:lang w:val="en-GB"/>
        </w:rPr>
      </w:pPr>
    </w:p>
    <w:p w14:paraId="65A213E9" w14:textId="7D2FFDAF" w:rsidR="00666CEF" w:rsidRDefault="00666CEF" w:rsidP="00E477B7">
      <w:pPr>
        <w:pStyle w:val="AFGTextecourant"/>
        <w:ind w:left="0"/>
        <w:jc w:val="both"/>
        <w:rPr>
          <w:lang w:val="en-GB"/>
        </w:rPr>
      </w:pPr>
      <w:r>
        <w:rPr>
          <w:lang w:val="en-GB"/>
        </w:rPr>
        <w:t xml:space="preserve">It should be possible to pre-select, </w:t>
      </w:r>
      <w:r w:rsidR="00DF1884">
        <w:rPr>
          <w:lang w:val="en-GB"/>
        </w:rPr>
        <w:t xml:space="preserve">always </w:t>
      </w:r>
      <w:r>
        <w:rPr>
          <w:lang w:val="en-GB"/>
        </w:rPr>
        <w:t>as a specific instruction.</w:t>
      </w:r>
    </w:p>
    <w:p w14:paraId="07F6F8E2" w14:textId="06AE4E48" w:rsidR="00D47A6E" w:rsidRPr="003505A2" w:rsidRDefault="00AF7283" w:rsidP="00E477B7">
      <w:pPr>
        <w:pStyle w:val="AFGTextecourant"/>
        <w:ind w:left="0"/>
        <w:jc w:val="both"/>
        <w:rPr>
          <w:lang w:val="en-GB"/>
        </w:rPr>
      </w:pPr>
      <w:r w:rsidRPr="003505A2">
        <w:rPr>
          <w:lang w:val="en-GB"/>
        </w:rPr>
        <w:t xml:space="preserve">The choice of the execution venue is a key parameter of best execution policy at a given time. </w:t>
      </w:r>
      <w:r w:rsidR="002845F4" w:rsidRPr="003505A2">
        <w:rPr>
          <w:lang w:val="en-GB"/>
        </w:rPr>
        <w:t>The constraint of</w:t>
      </w:r>
      <w:r w:rsidR="00D47A6E" w:rsidRPr="003505A2">
        <w:rPr>
          <w:lang w:val="en-GB"/>
        </w:rPr>
        <w:t xml:space="preserve"> this choice </w:t>
      </w:r>
      <w:r w:rsidR="002845F4" w:rsidRPr="003505A2">
        <w:rPr>
          <w:lang w:val="en-GB"/>
        </w:rPr>
        <w:t>due to a client instruction – even though i</w:t>
      </w:r>
      <w:r w:rsidR="00DB60EA" w:rsidRPr="003505A2">
        <w:rPr>
          <w:lang w:val="en-GB"/>
        </w:rPr>
        <w:t>t</w:t>
      </w:r>
      <w:r w:rsidR="002845F4" w:rsidRPr="003505A2">
        <w:rPr>
          <w:lang w:val="en-GB"/>
        </w:rPr>
        <w:t xml:space="preserve"> results in selectin</w:t>
      </w:r>
      <w:r w:rsidR="00DB60EA" w:rsidRPr="003505A2">
        <w:rPr>
          <w:lang w:val="en-GB"/>
        </w:rPr>
        <w:t>g</w:t>
      </w:r>
      <w:r w:rsidR="002845F4" w:rsidRPr="003505A2">
        <w:rPr>
          <w:lang w:val="en-GB"/>
        </w:rPr>
        <w:t xml:space="preserve"> the same venue than the one freely chosen by the investment firm at a given time - </w:t>
      </w:r>
      <w:r w:rsidR="00D47A6E" w:rsidRPr="003505A2">
        <w:rPr>
          <w:lang w:val="en-GB"/>
        </w:rPr>
        <w:t>has to be flagged</w:t>
      </w:r>
      <w:r w:rsidR="002845F4" w:rsidRPr="003505A2">
        <w:rPr>
          <w:lang w:val="en-GB"/>
        </w:rPr>
        <w:t>. It does constitute</w:t>
      </w:r>
      <w:r w:rsidR="009912C5">
        <w:rPr>
          <w:lang w:val="en-GB"/>
        </w:rPr>
        <w:t xml:space="preserve"> a</w:t>
      </w:r>
      <w:r w:rsidR="002845F4" w:rsidRPr="003505A2">
        <w:rPr>
          <w:lang w:val="en-GB"/>
        </w:rPr>
        <w:t xml:space="preserve"> </w:t>
      </w:r>
      <w:r w:rsidR="009912C5" w:rsidRPr="003505A2">
        <w:rPr>
          <w:lang w:val="en-GB"/>
        </w:rPr>
        <w:t>specific instruction</w:t>
      </w:r>
      <w:r w:rsidR="009912C5">
        <w:rPr>
          <w:lang w:val="en-GB"/>
        </w:rPr>
        <w:t xml:space="preserve"> of which</w:t>
      </w:r>
      <w:r w:rsidR="009912C5" w:rsidRPr="003505A2">
        <w:rPr>
          <w:lang w:val="en-GB"/>
        </w:rPr>
        <w:t xml:space="preserve"> the consequences</w:t>
      </w:r>
      <w:r w:rsidR="009912C5">
        <w:rPr>
          <w:lang w:val="en-GB"/>
        </w:rPr>
        <w:t xml:space="preserve"> </w:t>
      </w:r>
      <w:r w:rsidR="009912C5">
        <w:rPr>
          <w:lang w:val="en-GB"/>
        </w:rPr>
        <w:t>will and must be assumed by the instructing client</w:t>
      </w:r>
      <w:r w:rsidR="009912C5" w:rsidRPr="003505A2">
        <w:rPr>
          <w:lang w:val="en-GB"/>
        </w:rPr>
        <w:t>.</w:t>
      </w:r>
    </w:p>
    <w:p w14:paraId="2EA5467C" w14:textId="77777777" w:rsidR="00E477B7" w:rsidRPr="00D05CF5" w:rsidRDefault="00E477B7" w:rsidP="002845F4">
      <w:pPr>
        <w:pStyle w:val="AFGTextecourant"/>
        <w:ind w:left="0"/>
        <w:jc w:val="both"/>
        <w:rPr>
          <w:color w:val="164194" w:themeColor="text2"/>
          <w:lang w:val="en-GB"/>
        </w:rPr>
      </w:pPr>
    </w:p>
    <w:p w14:paraId="714A45B6" w14:textId="04F314A6" w:rsidR="00D05CF5" w:rsidRPr="00D05CF5" w:rsidRDefault="00D05CF5" w:rsidP="00D05CF5">
      <w:pPr>
        <w:pStyle w:val="AFGTextecourant"/>
        <w:jc w:val="both"/>
        <w:rPr>
          <w:b/>
          <w:bCs/>
          <w:color w:val="164194" w:themeColor="text2"/>
          <w:lang w:val="en-GB"/>
        </w:rPr>
      </w:pPr>
      <w:r w:rsidRPr="001C7BA1">
        <w:rPr>
          <w:b/>
          <w:bCs/>
          <w:color w:val="164194" w:themeColor="text2"/>
          <w:lang w:val="en-GB"/>
        </w:rPr>
        <w:t>Q7: Where an investment firm executes client orders by dealing on own account (including back-to-back trading), in light of the specificity of this execution model and since it is bound by the rules governing best execution, do you believe the current text is clear with regard to what kind of obligations investment firm applying such model should comply with? Or do you believe it would be useful to provide in the RTS list and explanations of information that should be included in the order execution policy, such as related to the method and steps to be taken by the firm to establish the price of client transactions in back-to-back trading, or the methodology for the firm’s application of mark-ups or mark-downs in such order executions? Please also state the reasons for your answer</w:t>
      </w:r>
      <w:r w:rsidRPr="00D05CF5">
        <w:rPr>
          <w:b/>
          <w:bCs/>
          <w:color w:val="164194" w:themeColor="text2"/>
          <w:lang w:val="en-GB"/>
        </w:rPr>
        <w:t xml:space="preserve">. </w:t>
      </w:r>
    </w:p>
    <w:p w14:paraId="4D33E505" w14:textId="7FD8A194" w:rsidR="009912C5" w:rsidRDefault="009912C5" w:rsidP="001C7BA1">
      <w:pPr>
        <w:pStyle w:val="AFGTextecourant"/>
        <w:ind w:left="0"/>
        <w:jc w:val="both"/>
        <w:rPr>
          <w:lang w:val="en-GB"/>
        </w:rPr>
      </w:pPr>
    </w:p>
    <w:p w14:paraId="3F4A01BA" w14:textId="2D9CA025" w:rsidR="001C7BA1" w:rsidRPr="003505A2" w:rsidRDefault="009912C5" w:rsidP="001C7BA1">
      <w:pPr>
        <w:pStyle w:val="AFGTextecourant"/>
        <w:ind w:left="0"/>
        <w:jc w:val="both"/>
        <w:rPr>
          <w:lang w:val="en-GB"/>
        </w:rPr>
      </w:pPr>
      <w:r>
        <w:rPr>
          <w:lang w:val="en-GB"/>
        </w:rPr>
        <w:t>This question is out of asset managers’ scope.</w:t>
      </w:r>
    </w:p>
    <w:p w14:paraId="51113BDA" w14:textId="77777777" w:rsidR="001C7BA1" w:rsidRPr="00D05CF5" w:rsidRDefault="001C7BA1" w:rsidP="00D05CF5">
      <w:pPr>
        <w:pStyle w:val="AFGTextecourant"/>
        <w:jc w:val="both"/>
        <w:rPr>
          <w:color w:val="164194" w:themeColor="text2"/>
          <w:lang w:val="en-GB"/>
        </w:rPr>
      </w:pPr>
    </w:p>
    <w:p w14:paraId="602FBA2F" w14:textId="77777777" w:rsidR="006A03E8" w:rsidRDefault="00D05CF5" w:rsidP="00D05CF5">
      <w:pPr>
        <w:pStyle w:val="AFGTextecourant"/>
        <w:ind w:left="0"/>
        <w:jc w:val="both"/>
        <w:rPr>
          <w:b/>
          <w:bCs/>
          <w:color w:val="164194" w:themeColor="text2"/>
          <w:lang w:val="en-GB"/>
        </w:rPr>
      </w:pPr>
      <w:r w:rsidRPr="00D05CF5">
        <w:rPr>
          <w:b/>
          <w:bCs/>
          <w:color w:val="164194" w:themeColor="text2"/>
          <w:lang w:val="en-GB"/>
        </w:rPr>
        <w:t>Q8: Are there any additional comments</w:t>
      </w:r>
    </w:p>
    <w:p w14:paraId="5BCB5915" w14:textId="1B7B31BC" w:rsidR="00031260" w:rsidRDefault="00D05CF5" w:rsidP="00D05CF5">
      <w:pPr>
        <w:pStyle w:val="AFGTextecourant"/>
        <w:ind w:left="0"/>
        <w:jc w:val="both"/>
        <w:rPr>
          <w:b/>
          <w:bCs/>
          <w:color w:val="164194" w:themeColor="text2"/>
          <w:lang w:val="en-GB"/>
        </w:rPr>
      </w:pPr>
      <w:r w:rsidRPr="00D05CF5">
        <w:rPr>
          <w:b/>
          <w:bCs/>
          <w:color w:val="164194" w:themeColor="text2"/>
          <w:lang w:val="en-GB"/>
        </w:rPr>
        <w:t xml:space="preserve"> that you would like to raise and/or information that you would like to provide (for example, relevant information in relation to any expected costs and benefits arising from the proposals)?</w:t>
      </w:r>
    </w:p>
    <w:p w14:paraId="03CDDFA9" w14:textId="77777777" w:rsidR="00FD7D78" w:rsidRDefault="00FD7D78" w:rsidP="00D05CF5">
      <w:pPr>
        <w:pStyle w:val="AFGTextecourant"/>
        <w:ind w:left="0"/>
        <w:jc w:val="both"/>
        <w:rPr>
          <w:color w:val="164194" w:themeColor="text2"/>
          <w:lang w:val="en-GB"/>
        </w:rPr>
      </w:pPr>
    </w:p>
    <w:p w14:paraId="36CBBBA5" w14:textId="1512DE5D" w:rsidR="00BD5FE5" w:rsidRPr="003505A2" w:rsidRDefault="00BD5FE5" w:rsidP="00D05CF5">
      <w:pPr>
        <w:pStyle w:val="AFGTextecourant"/>
        <w:ind w:left="0"/>
        <w:jc w:val="both"/>
        <w:rPr>
          <w:lang w:val="en-GB"/>
        </w:rPr>
      </w:pPr>
      <w:r w:rsidRPr="003505A2">
        <w:rPr>
          <w:lang w:val="en-GB"/>
        </w:rPr>
        <w:t>.</w:t>
      </w:r>
    </w:p>
    <w:p w14:paraId="662E231B" w14:textId="07D6DF67" w:rsidR="009912C5" w:rsidRDefault="00BD5FE5" w:rsidP="00D05CF5">
      <w:pPr>
        <w:pStyle w:val="AFGTextecourant"/>
        <w:ind w:left="0"/>
        <w:jc w:val="both"/>
        <w:rPr>
          <w:lang w:val="en-GB"/>
        </w:rPr>
      </w:pPr>
      <w:r w:rsidRPr="003505A2">
        <w:rPr>
          <w:lang w:val="en-GB"/>
        </w:rPr>
        <w:t xml:space="preserve">We are confident that internal rules </w:t>
      </w:r>
      <w:r w:rsidR="009912C5">
        <w:rPr>
          <w:lang w:val="en-GB"/>
        </w:rPr>
        <w:t xml:space="preserve">of order execution policies </w:t>
      </w:r>
      <w:r w:rsidRPr="003505A2">
        <w:rPr>
          <w:lang w:val="en-GB"/>
        </w:rPr>
        <w:t xml:space="preserve">offer a fair </w:t>
      </w:r>
      <w:r w:rsidR="009912C5">
        <w:rPr>
          <w:lang w:val="en-GB"/>
        </w:rPr>
        <w:t xml:space="preserve">and sound </w:t>
      </w:r>
      <w:r w:rsidRPr="003505A2">
        <w:rPr>
          <w:lang w:val="en-GB"/>
        </w:rPr>
        <w:t xml:space="preserve">protection of </w:t>
      </w:r>
      <w:r w:rsidR="009912C5">
        <w:rPr>
          <w:lang w:val="en-GB"/>
        </w:rPr>
        <w:t>asset managers’</w:t>
      </w:r>
      <w:r w:rsidRPr="003505A2">
        <w:rPr>
          <w:lang w:val="en-GB"/>
        </w:rPr>
        <w:t xml:space="preserve"> client interest</w:t>
      </w:r>
      <w:r w:rsidR="009912C5">
        <w:rPr>
          <w:lang w:val="en-GB"/>
        </w:rPr>
        <w:t>.</w:t>
      </w:r>
    </w:p>
    <w:p w14:paraId="6BB1CBF6" w14:textId="59452E1E" w:rsidR="00BD5FE5" w:rsidRPr="00DD0965" w:rsidRDefault="009912C5" w:rsidP="00D05CF5">
      <w:pPr>
        <w:pStyle w:val="AFGTextecourant"/>
        <w:ind w:left="0"/>
        <w:jc w:val="both"/>
        <w:rPr>
          <w:lang w:val="en-GB"/>
        </w:rPr>
      </w:pPr>
      <w:r w:rsidRPr="00DD0965">
        <w:rPr>
          <w:lang w:val="en-GB"/>
        </w:rPr>
        <w:t>We hope</w:t>
      </w:r>
      <w:r w:rsidR="00BD5FE5" w:rsidRPr="00DD0965">
        <w:rPr>
          <w:lang w:val="en-GB"/>
        </w:rPr>
        <w:t xml:space="preserve"> that ESMA rules </w:t>
      </w:r>
      <w:r w:rsidR="00DB60EA" w:rsidRPr="00DD0965">
        <w:rPr>
          <w:lang w:val="en-GB"/>
        </w:rPr>
        <w:t xml:space="preserve">will </w:t>
      </w:r>
      <w:r w:rsidR="00BD5FE5" w:rsidRPr="00DD0965">
        <w:rPr>
          <w:lang w:val="en-GB"/>
        </w:rPr>
        <w:t xml:space="preserve">offer a strong balance of fair regulation and enlightened </w:t>
      </w:r>
      <w:r w:rsidR="00F235A1" w:rsidRPr="00DD0965">
        <w:rPr>
          <w:lang w:val="en-GB"/>
        </w:rPr>
        <w:t>defence</w:t>
      </w:r>
      <w:r w:rsidR="00BD5FE5" w:rsidRPr="00DD0965">
        <w:rPr>
          <w:lang w:val="en-GB"/>
        </w:rPr>
        <w:t xml:space="preserve"> of the European industry competitiveness</w:t>
      </w:r>
      <w:r w:rsidR="00C77E41" w:rsidRPr="00DD0965">
        <w:rPr>
          <w:lang w:val="en-GB"/>
        </w:rPr>
        <w:t>, in alignment with the European Commission mandate.</w:t>
      </w:r>
    </w:p>
    <w:p w14:paraId="0EB11BCD" w14:textId="31E95C18" w:rsidR="009912C5" w:rsidRPr="00DD0965" w:rsidRDefault="009912C5" w:rsidP="00D05CF5">
      <w:pPr>
        <w:pStyle w:val="AFGTextecourant"/>
        <w:ind w:left="0"/>
        <w:jc w:val="both"/>
        <w:rPr>
          <w:lang w:val="en-GB"/>
        </w:rPr>
      </w:pPr>
      <w:r w:rsidRPr="00DD0965">
        <w:rPr>
          <w:lang w:val="en-GB"/>
        </w:rPr>
        <w:lastRenderedPageBreak/>
        <w:t>Overcomplexity is costly and this is detrimental to the attractiveness of what can be offered to the investors.</w:t>
      </w:r>
    </w:p>
    <w:p w14:paraId="79F1B813" w14:textId="77777777" w:rsidR="00EC10A7" w:rsidRPr="00DD0965" w:rsidRDefault="00EC10A7" w:rsidP="00D05CF5">
      <w:pPr>
        <w:pStyle w:val="AFGTextecourant"/>
        <w:ind w:left="0"/>
        <w:jc w:val="both"/>
        <w:rPr>
          <w:lang w:val="en-GB"/>
        </w:rPr>
      </w:pPr>
    </w:p>
    <w:p w14:paraId="6C3CF935" w14:textId="1B84790B" w:rsidR="00124C7F" w:rsidRPr="007531C4" w:rsidRDefault="009912C5" w:rsidP="0081494C">
      <w:pPr>
        <w:spacing w:before="120" w:after="0" w:line="240" w:lineRule="auto"/>
        <w:jc w:val="both"/>
        <w:rPr>
          <w:sz w:val="20"/>
          <w:szCs w:val="20"/>
          <w:lang w:val="en-US"/>
        </w:rPr>
        <w:sectPr w:rsidR="00124C7F" w:rsidRPr="007531C4" w:rsidSect="00E34FF5">
          <w:headerReference w:type="default" r:id="rId11"/>
          <w:footerReference w:type="default" r:id="rId12"/>
          <w:pgSz w:w="11906" w:h="16838"/>
          <w:pgMar w:top="2240" w:right="953" w:bottom="1644" w:left="953" w:header="1020" w:footer="454" w:gutter="0"/>
          <w:cols w:space="708"/>
          <w:docGrid w:linePitch="360"/>
        </w:sectPr>
      </w:pPr>
      <w:r w:rsidRPr="007531C4">
        <w:rPr>
          <w:sz w:val="20"/>
          <w:szCs w:val="20"/>
          <w:lang w:val="en-GB"/>
        </w:rPr>
        <w:t>We are looking forward to the output of this consultation and will be happy to further contribute and share the French asset managers’ viewpoints</w:t>
      </w:r>
      <w:r w:rsidRPr="007531C4">
        <w:rPr>
          <w:sz w:val="20"/>
          <w:szCs w:val="20"/>
          <w:lang w:val="en-GB"/>
        </w:rPr>
        <w:t>.</w:t>
      </w:r>
    </w:p>
    <w:p w14:paraId="543FE7BC" w14:textId="708D0D23" w:rsidR="004B352A" w:rsidRPr="00C77E41" w:rsidRDefault="004B352A" w:rsidP="00DC35EE">
      <w:pPr>
        <w:pStyle w:val="AFGTexte4edecouverture"/>
        <w:rPr>
          <w:lang w:val="en-US"/>
        </w:rPr>
      </w:pPr>
    </w:p>
    <w:sectPr w:rsidR="004B352A" w:rsidRPr="00C77E41" w:rsidSect="008501C2">
      <w:headerReference w:type="default" r:id="rId13"/>
      <w:footerReference w:type="default" r:id="rId14"/>
      <w:pgSz w:w="11906" w:h="16838"/>
      <w:pgMar w:top="1701" w:right="1191" w:bottom="2835"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8A15" w14:textId="77777777" w:rsidR="00193375" w:rsidRDefault="00193375" w:rsidP="004B352A">
      <w:pPr>
        <w:spacing w:after="0" w:line="240" w:lineRule="auto"/>
      </w:pPr>
      <w:r>
        <w:separator/>
      </w:r>
    </w:p>
  </w:endnote>
  <w:endnote w:type="continuationSeparator" w:id="0">
    <w:p w14:paraId="3D7B3720" w14:textId="77777777" w:rsidR="00193375" w:rsidRDefault="00193375" w:rsidP="004B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Corps)">
    <w:altName w:val="Montserrat"/>
    <w:charset w:val="00"/>
    <w:family w:val="roman"/>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oRhyme">
    <w:altName w:val="Calibri"/>
    <w:charset w:val="00"/>
    <w:family w:val="auto"/>
    <w:pitch w:val="variable"/>
    <w:sig w:usb0="00000007" w:usb1="02000000" w:usb2="00000000" w:usb3="00000000" w:csb0="00000093" w:csb1="00000000"/>
  </w:font>
  <w:font w:name="Times New Roman (Corps CS)">
    <w:altName w:val="Times New Roman"/>
    <w:panose1 w:val="00000000000000000000"/>
    <w:charset w:val="00"/>
    <w:family w:val="roman"/>
    <w:notTrueType/>
    <w:pitch w:val="default"/>
  </w:font>
  <w:font w:name="Montserrat SemiBold">
    <w:panose1 w:val="000007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BBD1" w14:textId="77777777" w:rsidR="008501C2" w:rsidRDefault="008501C2" w:rsidP="00DE7DC9">
    <w:pPr>
      <w:pStyle w:val="Pieddepage"/>
    </w:pPr>
    <w:r>
      <w:rPr>
        <w:lang w:eastAsia="fr-FR"/>
      </w:rPr>
      <w:drawing>
        <wp:anchor distT="0" distB="0" distL="114300" distR="114300" simplePos="0" relativeHeight="251663360" behindDoc="1" locked="1" layoutInCell="1" allowOverlap="1" wp14:anchorId="373C3294" wp14:editId="1B6D2758">
          <wp:simplePos x="0" y="0"/>
          <wp:positionH relativeFrom="column">
            <wp:posOffset>2100580</wp:posOffset>
          </wp:positionH>
          <wp:positionV relativeFrom="page">
            <wp:posOffset>8116570</wp:posOffset>
          </wp:positionV>
          <wp:extent cx="1846580" cy="1677035"/>
          <wp:effectExtent l="0" t="0" r="0" b="0"/>
          <wp:wrapNone/>
          <wp:docPr id="2101118187" name="Graphique 210111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6580" cy="16770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399C9" w14:textId="77777777" w:rsidR="00E34FF5" w:rsidRPr="00DE7DC9" w:rsidRDefault="00DE7DC9" w:rsidP="00DE7DC9">
    <w:pPr>
      <w:pStyle w:val="Pieddepage"/>
    </w:pPr>
    <w:r>
      <w:rPr>
        <w:lang w:eastAsia="fr-FR"/>
      </w:rPr>
      <w:drawing>
        <wp:anchor distT="0" distB="0" distL="114300" distR="114300" simplePos="0" relativeHeight="251676672" behindDoc="1" locked="1" layoutInCell="1" allowOverlap="1" wp14:anchorId="4580FE52" wp14:editId="00A97386">
          <wp:simplePos x="0" y="0"/>
          <wp:positionH relativeFrom="page">
            <wp:align>center</wp:align>
          </wp:positionH>
          <wp:positionV relativeFrom="page">
            <wp:posOffset>10081260</wp:posOffset>
          </wp:positionV>
          <wp:extent cx="180000" cy="90000"/>
          <wp:effectExtent l="0" t="0" r="0" b="0"/>
          <wp:wrapNone/>
          <wp:docPr id="759867690" name="Graphique 7598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90000"/>
                  </a:xfrm>
                  <a:prstGeom prst="rect">
                    <a:avLst/>
                  </a:prstGeom>
                </pic:spPr>
              </pic:pic>
            </a:graphicData>
          </a:graphic>
          <wp14:sizeRelH relativeFrom="margin">
            <wp14:pctWidth>0</wp14:pctWidth>
          </wp14:sizeRelH>
          <wp14:sizeRelV relativeFrom="margin">
            <wp14:pctHeight>0</wp14:pctHeight>
          </wp14:sizeRelV>
        </wp:anchor>
      </w:drawing>
    </w:r>
    <w:r w:rsidR="00E34FF5" w:rsidRPr="00DE7DC9">
      <w:rPr>
        <w:lang w:eastAsia="fr-FR"/>
      </w:rPr>
      <w:drawing>
        <wp:anchor distT="0" distB="0" distL="114300" distR="114300" simplePos="0" relativeHeight="251673600" behindDoc="1" locked="1" layoutInCell="1" allowOverlap="1" wp14:anchorId="7FC18616" wp14:editId="3E41F2DA">
          <wp:simplePos x="0" y="0"/>
          <wp:positionH relativeFrom="column">
            <wp:posOffset>5913755</wp:posOffset>
          </wp:positionH>
          <wp:positionV relativeFrom="page">
            <wp:posOffset>10099040</wp:posOffset>
          </wp:positionV>
          <wp:extent cx="1216660" cy="1223645"/>
          <wp:effectExtent l="0" t="0" r="2540" b="0"/>
          <wp:wrapNone/>
          <wp:docPr id="1874144612" name="Image 187414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
                    <a:extLst>
                      <a:ext uri="{28A0092B-C50C-407E-A947-70E740481C1C}">
                        <a14:useLocalDpi xmlns:a14="http://schemas.microsoft.com/office/drawing/2010/main" val="0"/>
                      </a:ext>
                    </a:extLst>
                  </a:blip>
                  <a:stretch>
                    <a:fillRect/>
                  </a:stretch>
                </pic:blipFill>
                <pic:spPr>
                  <a:xfrm>
                    <a:off x="0" y="0"/>
                    <a:ext cx="1216660" cy="1223645"/>
                  </a:xfrm>
                  <a:prstGeom prst="rect">
                    <a:avLst/>
                  </a:prstGeom>
                </pic:spPr>
              </pic:pic>
            </a:graphicData>
          </a:graphic>
          <wp14:sizeRelH relativeFrom="page">
            <wp14:pctWidth>0</wp14:pctWidth>
          </wp14:sizeRelH>
          <wp14:sizeRelV relativeFrom="page">
            <wp14:pctHeight>0</wp14:pctHeight>
          </wp14:sizeRelV>
        </wp:anchor>
      </w:drawing>
    </w:r>
  </w:p>
  <w:p w14:paraId="2B4FBBDE" w14:textId="356FCEBC" w:rsidR="004B352A" w:rsidRPr="00D05CF5" w:rsidRDefault="00532D98" w:rsidP="00532D98">
    <w:pPr>
      <w:pStyle w:val="Pieddepage"/>
      <w:rPr>
        <w:lang w:val="en-GB"/>
      </w:rPr>
    </w:pPr>
    <w:r w:rsidRPr="00A31DB0">
      <w:rPr>
        <w:rFonts w:cs="Times New Roman (Corps CS)"/>
        <w:b/>
        <w:bCs/>
        <w:caps/>
      </w:rPr>
      <w:fldChar w:fldCharType="begin"/>
    </w:r>
    <w:r w:rsidRPr="00D05CF5">
      <w:rPr>
        <w:rFonts w:cs="Times New Roman (Corps CS)"/>
        <w:b/>
        <w:bCs/>
        <w:caps/>
        <w:lang w:val="en-GB"/>
      </w:rPr>
      <w:instrText xml:space="preserve"> STYLEREF "AFG_Catégorie de document/Collection" \* MERGEFORMAT </w:instrText>
    </w:r>
    <w:r w:rsidRPr="00A31DB0">
      <w:rPr>
        <w:rFonts w:cs="Times New Roman (Corps CS)"/>
        <w:b/>
        <w:bCs/>
        <w:caps/>
      </w:rPr>
      <w:fldChar w:fldCharType="separate"/>
    </w:r>
    <w:r w:rsidR="00F1057A">
      <w:rPr>
        <w:rFonts w:cs="Times New Roman (Corps CS)"/>
        <w:b/>
        <w:bCs/>
        <w:caps/>
        <w:lang w:val="en-GB"/>
      </w:rPr>
      <w:t>AFG's Draft response to esma's Consultation</w:t>
    </w:r>
    <w:r w:rsidRPr="00A31DB0">
      <w:rPr>
        <w:rFonts w:cs="Times New Roman (Corps CS)"/>
        <w:b/>
        <w:bCs/>
        <w:caps/>
      </w:rPr>
      <w:fldChar w:fldCharType="end"/>
    </w:r>
    <w:r w:rsidRPr="00D05CF5">
      <w:rPr>
        <w:lang w:val="en-GB"/>
      </w:rPr>
      <w:tab/>
    </w:r>
    <w:r w:rsidRPr="00D05CF5">
      <w:rPr>
        <w:lang w:val="en-GB"/>
      </w:rPr>
      <w:tab/>
      <w:t xml:space="preserve">page </w:t>
    </w:r>
    <w:r>
      <w:fldChar w:fldCharType="begin"/>
    </w:r>
    <w:r w:rsidRPr="00D05CF5">
      <w:rPr>
        <w:lang w:val="en-GB"/>
      </w:rPr>
      <w:instrText xml:space="preserve"> PAGE  \* MERGEFORMAT </w:instrText>
    </w:r>
    <w:r>
      <w:fldChar w:fldCharType="separate"/>
    </w:r>
    <w:r w:rsidRPr="00D05CF5">
      <w:rPr>
        <w:lang w:val="en-GB"/>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9883" w14:textId="77777777" w:rsidR="004B352A" w:rsidRPr="00DE7DC9" w:rsidRDefault="000110E4" w:rsidP="00DE7DC9">
    <w:pPr>
      <w:pStyle w:val="Pieddepage"/>
      <w:jc w:val="center"/>
      <w:rPr>
        <w:sz w:val="15"/>
        <w:szCs w:val="15"/>
      </w:rPr>
    </w:pPr>
    <w:r>
      <w:drawing>
        <wp:anchor distT="0" distB="0" distL="114300" distR="114300" simplePos="0" relativeHeight="251683840" behindDoc="1" locked="0" layoutInCell="1" allowOverlap="1" wp14:anchorId="03D88EF5" wp14:editId="25F106ED">
          <wp:simplePos x="0" y="0"/>
          <wp:positionH relativeFrom="margin">
            <wp:align>center</wp:align>
          </wp:positionH>
          <wp:positionV relativeFrom="paragraph">
            <wp:posOffset>-2428875</wp:posOffset>
          </wp:positionV>
          <wp:extent cx="2087452" cy="2421255"/>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7452" cy="2421255"/>
                  </a:xfrm>
                  <a:prstGeom prst="rect">
                    <a:avLst/>
                  </a:prstGeom>
                </pic:spPr>
              </pic:pic>
            </a:graphicData>
          </a:graphic>
          <wp14:sizeRelH relativeFrom="margin">
            <wp14:pctWidth>0</wp14:pctWidth>
          </wp14:sizeRelH>
          <wp14:sizeRelV relativeFrom="margin">
            <wp14:pctHeight>0</wp14:pctHeight>
          </wp14:sizeRelV>
        </wp:anchor>
      </w:drawing>
    </w:r>
    <w:r w:rsidR="00DE7DC9" w:rsidRPr="00DE7DC9">
      <w:rPr>
        <w:sz w:val="15"/>
        <w:szCs w:val="15"/>
      </w:rPr>
      <w:t xml:space="preserve">41 rue de la Bienfaisance • 75008 Paris • +33 (0)1 44 94 94 00 ■ </w:t>
    </w:r>
    <w:r w:rsidR="006E3417">
      <w:rPr>
        <w:sz w:val="15"/>
        <w:szCs w:val="15"/>
      </w:rPr>
      <w:t>avenue de</w:t>
    </w:r>
    <w:r w:rsidR="00A91E47">
      <w:rPr>
        <w:sz w:val="15"/>
        <w:szCs w:val="15"/>
      </w:rPr>
      <w:t>s Arts</w:t>
    </w:r>
    <w:r w:rsidR="006E3417">
      <w:rPr>
        <w:sz w:val="15"/>
        <w:szCs w:val="15"/>
      </w:rPr>
      <w:t xml:space="preserve"> </w:t>
    </w:r>
    <w:r w:rsidR="00A91E47">
      <w:rPr>
        <w:sz w:val="15"/>
        <w:szCs w:val="15"/>
      </w:rPr>
      <w:t>44</w:t>
    </w:r>
    <w:r w:rsidR="00DE7DC9" w:rsidRPr="00DE7DC9">
      <w:rPr>
        <w:sz w:val="15"/>
        <w:szCs w:val="15"/>
      </w:rPr>
      <w:t xml:space="preserve"> • 10</w:t>
    </w:r>
    <w:r w:rsidR="006E3417">
      <w:rPr>
        <w:sz w:val="15"/>
        <w:szCs w:val="15"/>
      </w:rPr>
      <w:t>0</w:t>
    </w:r>
    <w:r w:rsidR="00DE7DC9" w:rsidRPr="00DE7DC9">
      <w:rPr>
        <w:sz w:val="15"/>
        <w:szCs w:val="15"/>
      </w:rPr>
      <w:t>0 Bruxelles ■ www.afg.asso.fr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1988F" w14:textId="77777777" w:rsidR="00193375" w:rsidRDefault="00193375" w:rsidP="004B352A">
      <w:pPr>
        <w:spacing w:after="0" w:line="240" w:lineRule="auto"/>
      </w:pPr>
      <w:r>
        <w:separator/>
      </w:r>
    </w:p>
  </w:footnote>
  <w:footnote w:type="continuationSeparator" w:id="0">
    <w:p w14:paraId="46ED0A68" w14:textId="77777777" w:rsidR="00193375" w:rsidRDefault="00193375" w:rsidP="004B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183D" w14:textId="77777777" w:rsidR="003548ED" w:rsidRPr="00C22EBD" w:rsidRDefault="000110E4" w:rsidP="00C22EBD">
    <w:pPr>
      <w:pStyle w:val="En-tte"/>
      <w:rPr>
        <w:sz w:val="22"/>
        <w:szCs w:val="22"/>
      </w:rPr>
    </w:pPr>
    <w:r>
      <w:rPr>
        <w:noProof/>
      </w:rPr>
      <w:drawing>
        <wp:anchor distT="0" distB="0" distL="114300" distR="114300" simplePos="0" relativeHeight="251681792" behindDoc="1" locked="0" layoutInCell="1" allowOverlap="1" wp14:anchorId="32DC230B" wp14:editId="423938EF">
          <wp:simplePos x="0" y="0"/>
          <wp:positionH relativeFrom="margin">
            <wp:align>center</wp:align>
          </wp:positionH>
          <wp:positionV relativeFrom="paragraph">
            <wp:posOffset>0</wp:posOffset>
          </wp:positionV>
          <wp:extent cx="2254250" cy="2614727"/>
          <wp:effectExtent l="0" t="0" r="0" b="0"/>
          <wp:wrapNone/>
          <wp:docPr id="742119501" name="Image 74211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4250" cy="2614727"/>
                  </a:xfrm>
                  <a:prstGeom prst="rect">
                    <a:avLst/>
                  </a:prstGeom>
                </pic:spPr>
              </pic:pic>
            </a:graphicData>
          </a:graphic>
          <wp14:sizeRelH relativeFrom="margin">
            <wp14:pctWidth>0</wp14:pctWidth>
          </wp14:sizeRelH>
          <wp14:sizeRelV relativeFrom="margin">
            <wp14:pctHeight>0</wp14:pctHeight>
          </wp14:sizeRelV>
        </wp:anchor>
      </w:drawing>
    </w:r>
  </w:p>
  <w:p w14:paraId="1696860C" w14:textId="77777777" w:rsidR="004B352A" w:rsidRPr="00C22EBD" w:rsidRDefault="004B352A" w:rsidP="00C22EBD">
    <w:pPr>
      <w:pStyle w:val="En-tte"/>
      <w:spacing w:before="440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6B65" w14:textId="77777777" w:rsidR="004B352A" w:rsidRDefault="00C91E7C" w:rsidP="00C22EBD">
    <w:pPr>
      <w:pStyle w:val="En-tte"/>
    </w:pPr>
    <w:r>
      <w:rPr>
        <w:noProof/>
        <w:lang w:eastAsia="fr-FR"/>
      </w:rPr>
      <mc:AlternateContent>
        <mc:Choice Requires="wps">
          <w:drawing>
            <wp:anchor distT="0" distB="0" distL="114300" distR="114300" simplePos="0" relativeHeight="251657215" behindDoc="1" locked="1" layoutInCell="1" allowOverlap="1" wp14:anchorId="2849FDCB" wp14:editId="399A2DD6">
              <wp:simplePos x="0" y="0"/>
              <wp:positionH relativeFrom="page">
                <wp:posOffset>180340</wp:posOffset>
              </wp:positionH>
              <wp:positionV relativeFrom="page">
                <wp:posOffset>180340</wp:posOffset>
              </wp:positionV>
              <wp:extent cx="7200000" cy="7200000"/>
              <wp:effectExtent l="0" t="0" r="1270" b="1270"/>
              <wp:wrapNone/>
              <wp:docPr id="12" name="Rectangle 12"/>
              <wp:cNvGraphicFramePr/>
              <a:graphic xmlns:a="http://schemas.openxmlformats.org/drawingml/2006/main">
                <a:graphicData uri="http://schemas.microsoft.com/office/word/2010/wordprocessingShape">
                  <wps:wsp>
                    <wps:cNvSpPr/>
                    <wps:spPr>
                      <a:xfrm>
                        <a:off x="0" y="0"/>
                        <a:ext cx="7200000" cy="720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1007" id="Rectangle 12" o:spid="_x0000_s1026" style="position:absolute;margin-left:14.2pt;margin-top:14.2pt;width:566.95pt;height:566.9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" fillcolor="#164194 [3215]" stroked="f" strokeweight="2pt">
              <w10:wrap anchorx="page" anchory="page"/>
              <w10:anchorlock/>
            </v:rect>
          </w:pict>
        </mc:Fallback>
      </mc:AlternateContent>
    </w:r>
    <w:r w:rsidR="008501C2">
      <w:rPr>
        <w:noProof/>
        <w:lang w:eastAsia="fr-FR"/>
      </w:rPr>
      <w:drawing>
        <wp:anchor distT="0" distB="0" distL="114300" distR="114300" simplePos="0" relativeHeight="251667456" behindDoc="1" locked="1" layoutInCell="1" allowOverlap="1" wp14:anchorId="6ADD4374" wp14:editId="4571BBBE">
          <wp:simplePos x="0" y="0"/>
          <wp:positionH relativeFrom="page">
            <wp:posOffset>180340</wp:posOffset>
          </wp:positionH>
          <wp:positionV relativeFrom="page">
            <wp:posOffset>180340</wp:posOffset>
          </wp:positionV>
          <wp:extent cx="7200000" cy="7200000"/>
          <wp:effectExtent l="0" t="0" r="1270" b="1270"/>
          <wp:wrapNone/>
          <wp:docPr id="1788989865" name="Graphique 178898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9350" r="19350" b="-8"/>
                  <a:stretch/>
                </pic:blipFill>
                <pic:spPr bwMode="auto">
                  <a:xfrm>
                    <a:off x="0" y="0"/>
                    <a:ext cx="7200000" cy="72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D64C" w14:textId="77777777" w:rsidR="004B352A" w:rsidRDefault="00E055AB" w:rsidP="00C22EBD">
    <w:pPr>
      <w:pStyle w:val="En-tte"/>
    </w:pPr>
    <w:r>
      <w:rPr>
        <w:noProof/>
        <w:lang w:eastAsia="fr-FR"/>
      </w:rPr>
      <w:drawing>
        <wp:anchor distT="0" distB="0" distL="114300" distR="114300" simplePos="0" relativeHeight="251679744" behindDoc="1" locked="1" layoutInCell="1" allowOverlap="1" wp14:anchorId="10FA5FDA" wp14:editId="703BE9B0">
          <wp:simplePos x="0" y="0"/>
          <wp:positionH relativeFrom="page">
            <wp:posOffset>-529839</wp:posOffset>
          </wp:positionH>
          <wp:positionV relativeFrom="page">
            <wp:posOffset>-288290</wp:posOffset>
          </wp:positionV>
          <wp:extent cx="1796400" cy="2520000"/>
          <wp:effectExtent l="0" t="0" r="0" b="0"/>
          <wp:wrapNone/>
          <wp:docPr id="126697127" name="Image 126697127"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somb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CBC6" w14:textId="77777777" w:rsidR="00DE7DC9" w:rsidRDefault="00DE7DC9" w:rsidP="00C22EBD">
    <w:pPr>
      <w:pStyle w:val="En-tte"/>
    </w:pPr>
    <w:r>
      <w:rPr>
        <w:noProof/>
        <w:lang w:eastAsia="fr-FR"/>
      </w:rPr>
      <mc:AlternateContent>
        <mc:Choice Requires="wps">
          <w:drawing>
            <wp:anchor distT="0" distB="0" distL="114300" distR="114300" simplePos="0" relativeHeight="251656190" behindDoc="1" locked="1" layoutInCell="1" allowOverlap="1" wp14:anchorId="030E7A21" wp14:editId="5D6FEACD">
              <wp:simplePos x="0" y="0"/>
              <wp:positionH relativeFrom="page">
                <wp:align>center</wp:align>
              </wp:positionH>
              <wp:positionV relativeFrom="page">
                <wp:posOffset>180340</wp:posOffset>
              </wp:positionV>
              <wp:extent cx="7200000" cy="7200000"/>
              <wp:effectExtent l="0" t="0" r="1270" b="1270"/>
              <wp:wrapNone/>
              <wp:docPr id="28" name="Rectangle 28"/>
              <wp:cNvGraphicFramePr/>
              <a:graphic xmlns:a="http://schemas.openxmlformats.org/drawingml/2006/main">
                <a:graphicData uri="http://schemas.microsoft.com/office/word/2010/wordprocessingShape">
                  <wps:wsp>
                    <wps:cNvSpPr/>
                    <wps:spPr>
                      <a:xfrm>
                        <a:off x="0" y="0"/>
                        <a:ext cx="7200000" cy="720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6F15E" id="Rectangle 28" o:spid="_x0000_s1026" style="position:absolute;margin-left:0;margin-top:14.2pt;width:566.95pt;height:566.95pt;z-index:-25166029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" fillcolor="#164194 [3215]" stroked="f" strokeweight="2pt">
              <w10:wrap anchorx="page" anchory="page"/>
              <w10:anchorlock/>
            </v:rect>
          </w:pict>
        </mc:Fallback>
      </mc:AlternateContent>
    </w:r>
    <w:r>
      <w:rPr>
        <w:noProof/>
        <w:lang w:eastAsia="fr-FR"/>
      </w:rPr>
      <w:drawing>
        <wp:anchor distT="0" distB="0" distL="114300" distR="114300" simplePos="0" relativeHeight="251677696" behindDoc="1" locked="1" layoutInCell="1" allowOverlap="1" wp14:anchorId="298F97C3" wp14:editId="04BDE3CB">
          <wp:simplePos x="0" y="0"/>
          <wp:positionH relativeFrom="page">
            <wp:posOffset>344805</wp:posOffset>
          </wp:positionH>
          <wp:positionV relativeFrom="page">
            <wp:posOffset>306070</wp:posOffset>
          </wp:positionV>
          <wp:extent cx="6868800" cy="7020000"/>
          <wp:effectExtent l="0" t="0" r="1905" b="3175"/>
          <wp:wrapNone/>
          <wp:docPr id="26" name="Graphiqu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68800" cy="7020000"/>
                  </a:xfrm>
                  <a:prstGeom prst="rect">
                    <a:avLst/>
                  </a:prstGeom>
                </pic:spPr>
              </pic:pic>
            </a:graphicData>
          </a:graphic>
          <wp14:sizeRelH relativeFrom="margin">
            <wp14:pctWidth>0</wp14:pctWidth>
          </wp14:sizeRelH>
          <wp14:sizeRelV relativeFrom="margin">
            <wp14:pctHeight>0</wp14:pctHeight>
          </wp14:sizeRelV>
        </wp:anchor>
      </w:drawing>
    </w:r>
  </w:p>
  <w:p w14:paraId="395C39D4" w14:textId="77777777" w:rsidR="004B352A" w:rsidRDefault="004B352A" w:rsidP="00DE7DC9">
    <w:pPr>
      <w:pStyle w:val="En-tte"/>
      <w:spacing w:befor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21pt;height:21pt" o:bullet="t">
        <v:imagedata r:id="rId1" o:title="Puce 2"/>
      </v:shape>
    </w:pict>
  </w:numPicBullet>
  <w:numPicBullet w:numPicBulletId="1">
    <w:pict>
      <v:shape id="_x0000_i1405" type="#_x0000_t75" style="width:11.25pt;height:11.25pt" o:bullet="t">
        <v:imagedata r:id="rId2" o:title="Puce 3"/>
      </v:shape>
    </w:pict>
  </w:numPicBullet>
  <w:numPicBullet w:numPicBulletId="2">
    <w:pict>
      <v:shape id="_x0000_i1406" type="#_x0000_t75" style="width:21.75pt;height:21.75pt" o:bullet="t">
        <v:imagedata r:id="rId3" o:title="Puce 4"/>
      </v:shape>
    </w:pict>
  </w:numPicBullet>
  <w:numPicBullet w:numPicBulletId="3">
    <w:pict>
      <v:shape id="_x0000_i1407" type="#_x0000_t75" style="width:21pt;height:21pt" o:bullet="t">
        <v:imagedata r:id="rId4" o:title="Puce 1"/>
      </v:shape>
    </w:pict>
  </w:numPicBullet>
  <w:numPicBullet w:numPicBulletId="4">
    <w:pict>
      <v:shape id="_x0000_i1408" type="#_x0000_t75" style="width:10.5pt;height:10.5pt" o:bullet="t">
        <v:imagedata r:id="rId5" o:title="Puce 1 (44px)"/>
      </v:shape>
    </w:pict>
  </w:numPicBullet>
  <w:numPicBullet w:numPicBulletId="5">
    <w:pict>
      <v:shape id="_x0000_i1409" type="#_x0000_t75" style="width:21pt;height:21pt" o:bullet="t">
        <v:imagedata r:id="rId6" o:title="Puce 2"/>
      </v:shape>
    </w:pict>
  </w:numPicBullet>
  <w:numPicBullet w:numPicBulletId="6">
    <w:pict>
      <v:shape id="_x0000_i1410" type="#_x0000_t75" style="width:21pt;height:21pt" o:bullet="t">
        <v:imagedata r:id="rId7" o:title="Puce 3"/>
      </v:shape>
    </w:pict>
  </w:numPicBullet>
  <w:abstractNum w:abstractNumId="0" w15:restartNumberingAfterBreak="0">
    <w:nsid w:val="02064801"/>
    <w:multiLevelType w:val="hybridMultilevel"/>
    <w:tmpl w:val="80441102"/>
    <w:lvl w:ilvl="0" w:tplc="952C24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D5062"/>
    <w:multiLevelType w:val="hybridMultilevel"/>
    <w:tmpl w:val="C17EA044"/>
    <w:lvl w:ilvl="0" w:tplc="D4426804">
      <w:start w:val="1"/>
      <w:numFmt w:val="bullet"/>
      <w:pStyle w:val="AFGPuce3Noir"/>
      <w:lvlText w:val="•"/>
      <w:lvlJc w:val="left"/>
      <w:pPr>
        <w:ind w:left="1060" w:hanging="360"/>
      </w:pPr>
      <w:rPr>
        <w:rFonts w:ascii="Montserrat (Corps)" w:hAnsi="Montserrat (Corp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0EE35F6D"/>
    <w:multiLevelType w:val="hybridMultilevel"/>
    <w:tmpl w:val="59ACB816"/>
    <w:lvl w:ilvl="0" w:tplc="8320FFA6">
      <w:start w:val="1"/>
      <w:numFmt w:val="bullet"/>
      <w:lvlText w:val="u"/>
      <w:lvlJc w:val="left"/>
      <w:pPr>
        <w:ind w:left="140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84154"/>
    <w:multiLevelType w:val="hybridMultilevel"/>
    <w:tmpl w:val="08063D9A"/>
    <w:lvl w:ilvl="0" w:tplc="AD004CF8">
      <w:start w:val="1"/>
      <w:numFmt w:val="bullet"/>
      <w:lvlText w:val=""/>
      <w:lvlJc w:val="left"/>
      <w:pPr>
        <w:ind w:left="1020" w:hanging="360"/>
      </w:pPr>
      <w:rPr>
        <w:rFonts w:ascii="Symbol" w:hAnsi="Symbol"/>
      </w:rPr>
    </w:lvl>
    <w:lvl w:ilvl="1" w:tplc="4BD0CA14">
      <w:start w:val="1"/>
      <w:numFmt w:val="bullet"/>
      <w:lvlText w:val=""/>
      <w:lvlJc w:val="left"/>
      <w:pPr>
        <w:ind w:left="1020" w:hanging="360"/>
      </w:pPr>
      <w:rPr>
        <w:rFonts w:ascii="Symbol" w:hAnsi="Symbol"/>
      </w:rPr>
    </w:lvl>
    <w:lvl w:ilvl="2" w:tplc="E8E6879C">
      <w:start w:val="1"/>
      <w:numFmt w:val="bullet"/>
      <w:lvlText w:val=""/>
      <w:lvlJc w:val="left"/>
      <w:pPr>
        <w:ind w:left="1020" w:hanging="360"/>
      </w:pPr>
      <w:rPr>
        <w:rFonts w:ascii="Symbol" w:hAnsi="Symbol"/>
      </w:rPr>
    </w:lvl>
    <w:lvl w:ilvl="3" w:tplc="CF38141A">
      <w:start w:val="1"/>
      <w:numFmt w:val="bullet"/>
      <w:lvlText w:val=""/>
      <w:lvlJc w:val="left"/>
      <w:pPr>
        <w:ind w:left="1020" w:hanging="360"/>
      </w:pPr>
      <w:rPr>
        <w:rFonts w:ascii="Symbol" w:hAnsi="Symbol"/>
      </w:rPr>
    </w:lvl>
    <w:lvl w:ilvl="4" w:tplc="7EE47DB2">
      <w:start w:val="1"/>
      <w:numFmt w:val="bullet"/>
      <w:lvlText w:val=""/>
      <w:lvlJc w:val="left"/>
      <w:pPr>
        <w:ind w:left="1020" w:hanging="360"/>
      </w:pPr>
      <w:rPr>
        <w:rFonts w:ascii="Symbol" w:hAnsi="Symbol"/>
      </w:rPr>
    </w:lvl>
    <w:lvl w:ilvl="5" w:tplc="A92EF188">
      <w:start w:val="1"/>
      <w:numFmt w:val="bullet"/>
      <w:lvlText w:val=""/>
      <w:lvlJc w:val="left"/>
      <w:pPr>
        <w:ind w:left="1020" w:hanging="360"/>
      </w:pPr>
      <w:rPr>
        <w:rFonts w:ascii="Symbol" w:hAnsi="Symbol"/>
      </w:rPr>
    </w:lvl>
    <w:lvl w:ilvl="6" w:tplc="8A6E3C2E">
      <w:start w:val="1"/>
      <w:numFmt w:val="bullet"/>
      <w:lvlText w:val=""/>
      <w:lvlJc w:val="left"/>
      <w:pPr>
        <w:ind w:left="1020" w:hanging="360"/>
      </w:pPr>
      <w:rPr>
        <w:rFonts w:ascii="Symbol" w:hAnsi="Symbol"/>
      </w:rPr>
    </w:lvl>
    <w:lvl w:ilvl="7" w:tplc="1B72348A">
      <w:start w:val="1"/>
      <w:numFmt w:val="bullet"/>
      <w:lvlText w:val=""/>
      <w:lvlJc w:val="left"/>
      <w:pPr>
        <w:ind w:left="1020" w:hanging="360"/>
      </w:pPr>
      <w:rPr>
        <w:rFonts w:ascii="Symbol" w:hAnsi="Symbol"/>
      </w:rPr>
    </w:lvl>
    <w:lvl w:ilvl="8" w:tplc="0B203F74">
      <w:start w:val="1"/>
      <w:numFmt w:val="bullet"/>
      <w:lvlText w:val=""/>
      <w:lvlJc w:val="left"/>
      <w:pPr>
        <w:ind w:left="1020" w:hanging="360"/>
      </w:pPr>
      <w:rPr>
        <w:rFonts w:ascii="Symbol" w:hAnsi="Symbol"/>
      </w:rPr>
    </w:lvl>
  </w:abstractNum>
  <w:abstractNum w:abstractNumId="4" w15:restartNumberingAfterBreak="0">
    <w:nsid w:val="141B74F2"/>
    <w:multiLevelType w:val="hybridMultilevel"/>
    <w:tmpl w:val="32321750"/>
    <w:lvl w:ilvl="0" w:tplc="12DE3ED6">
      <w:start w:val="1"/>
      <w:numFmt w:val="bullet"/>
      <w:lvlText w:val=""/>
      <w:lvlPicBulletId w:val="6"/>
      <w:lvlJc w:val="left"/>
      <w:pPr>
        <w:ind w:left="1440" w:hanging="360"/>
      </w:pPr>
      <w:rPr>
        <w:rFonts w:ascii="Symbol" w:hAnsi="Symbol" w:hint="default"/>
        <w:color w:val="auto"/>
      </w:rPr>
    </w:lvl>
    <w:lvl w:ilvl="1" w:tplc="12DE3ED6">
      <w:start w:val="1"/>
      <w:numFmt w:val="bullet"/>
      <w:lvlText w:val=""/>
      <w:lvlPicBulletId w:val="6"/>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F16B9"/>
    <w:multiLevelType w:val="hybridMultilevel"/>
    <w:tmpl w:val="5C5A7910"/>
    <w:lvl w:ilvl="0" w:tplc="BF8E1BCC">
      <w:start w:val="1"/>
      <w:numFmt w:val="bullet"/>
      <w:lvlText w:val=""/>
      <w:lvlPicBulletId w:val="0"/>
      <w:lvlJc w:val="left"/>
      <w:pPr>
        <w:ind w:left="1911" w:hanging="360"/>
      </w:pPr>
      <w:rPr>
        <w:rFonts w:ascii="Symbol" w:hAnsi="Symbol" w:hint="default"/>
        <w:color w:val="auto"/>
      </w:rPr>
    </w:lvl>
    <w:lvl w:ilvl="1" w:tplc="D7DA5B96">
      <w:start w:val="1"/>
      <w:numFmt w:val="bullet"/>
      <w:pStyle w:val="AFGPuceintro"/>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1C13EC"/>
    <w:multiLevelType w:val="hybridMultilevel"/>
    <w:tmpl w:val="A1A817EE"/>
    <w:lvl w:ilvl="0" w:tplc="54D26ADC">
      <w:start w:val="1"/>
      <w:numFmt w:val="bullet"/>
      <w:pStyle w:val="AFGPuce1"/>
      <w:lvlText w:val=""/>
      <w:lvlJc w:val="left"/>
      <w:pPr>
        <w:ind w:left="1060" w:hanging="360"/>
      </w:pPr>
      <w:rPr>
        <w:rFonts w:ascii="Wingdings" w:hAnsi="Wingdings"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8047E5"/>
    <w:multiLevelType w:val="hybridMultilevel"/>
    <w:tmpl w:val="F856C046"/>
    <w:lvl w:ilvl="0" w:tplc="16701AB8">
      <w:start w:val="1"/>
      <w:numFmt w:val="bullet"/>
      <w:lvlText w:val=""/>
      <w:lvlPicBulletId w:val="5"/>
      <w:lvlJc w:val="left"/>
      <w:pPr>
        <w:ind w:left="1440" w:hanging="360"/>
      </w:pPr>
      <w:rPr>
        <w:rFonts w:ascii="Symbol" w:hAnsi="Symbol" w:hint="default"/>
        <w:color w:val="auto"/>
      </w:rPr>
    </w:lvl>
    <w:lvl w:ilvl="1" w:tplc="16701AB8">
      <w:start w:val="1"/>
      <w:numFmt w:val="bullet"/>
      <w:lvlText w:val=""/>
      <w:lvlPicBulletId w:val="5"/>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926C3"/>
    <w:multiLevelType w:val="hybridMultilevel"/>
    <w:tmpl w:val="62500BCA"/>
    <w:lvl w:ilvl="0" w:tplc="AAAC2DDA">
      <w:start w:val="1"/>
      <w:numFmt w:val="bullet"/>
      <w:pStyle w:val="AFGPuce2Noir"/>
      <w:lvlText w:val="u"/>
      <w:lvlJc w:val="left"/>
      <w:pPr>
        <w:ind w:left="1060" w:hanging="360"/>
      </w:pPr>
      <w:rPr>
        <w:rFonts w:ascii="Wingdings 3" w:hAnsi="Wingdings 3" w:hint="default"/>
        <w:sz w:val="13"/>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1895E70"/>
    <w:multiLevelType w:val="hybridMultilevel"/>
    <w:tmpl w:val="5E463F7A"/>
    <w:lvl w:ilvl="0" w:tplc="90662F00">
      <w:start w:val="1"/>
      <w:numFmt w:val="bullet"/>
      <w:lvlText w:val="}"/>
      <w:lvlJc w:val="left"/>
      <w:pPr>
        <w:ind w:left="106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50290A"/>
    <w:multiLevelType w:val="hybridMultilevel"/>
    <w:tmpl w:val="3EB073A6"/>
    <w:lvl w:ilvl="0" w:tplc="25AEC7C6">
      <w:start w:val="1"/>
      <w:numFmt w:val="bullet"/>
      <w:pStyle w:val="AFGPuce2"/>
      <w:lvlText w:val="u"/>
      <w:lvlJc w:val="left"/>
      <w:pPr>
        <w:ind w:left="1060" w:hanging="360"/>
      </w:pPr>
      <w:rPr>
        <w:rFonts w:ascii="Wingdings 3" w:hAnsi="Wingdings 3" w:hint="default"/>
        <w:color w:val="449DD7" w:themeColor="accent1"/>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ED4741"/>
    <w:multiLevelType w:val="hybridMultilevel"/>
    <w:tmpl w:val="A6DE2BC8"/>
    <w:lvl w:ilvl="0" w:tplc="8320FFA6">
      <w:start w:val="1"/>
      <w:numFmt w:val="bullet"/>
      <w:lvlText w:val="u"/>
      <w:lvlJc w:val="left"/>
      <w:pPr>
        <w:ind w:left="106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7F006B"/>
    <w:multiLevelType w:val="hybridMultilevel"/>
    <w:tmpl w:val="6AB871C4"/>
    <w:lvl w:ilvl="0" w:tplc="DF984E10">
      <w:start w:val="1"/>
      <w:numFmt w:val="bullet"/>
      <w:pStyle w:val="AFGPuce3"/>
      <w:lvlText w:val="•"/>
      <w:lvlJc w:val="left"/>
      <w:pPr>
        <w:ind w:left="1060" w:hanging="360"/>
      </w:pPr>
      <w:rPr>
        <w:rFonts w:asciiTheme="minorHAnsi" w:hAnsiTheme="minorHAnsi" w:hint="default"/>
        <w:color w:val="449DD7" w:themeColor="accent1"/>
        <w:w w:val="100"/>
        <w:sz w:val="2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5FAD2E9C"/>
    <w:multiLevelType w:val="multilevel"/>
    <w:tmpl w:val="C53293A6"/>
    <w:lvl w:ilvl="0">
      <w:start w:val="1"/>
      <w:numFmt w:val="upperRoman"/>
      <w:pStyle w:val="AFGTitre1"/>
      <w:suff w:val="space"/>
      <w:lvlText w:val="Chapitre %1 -"/>
      <w:lvlJc w:val="left"/>
      <w:pPr>
        <w:ind w:left="0" w:firstLine="0"/>
      </w:pPr>
      <w:rPr>
        <w:rFonts w:hint="default"/>
      </w:rPr>
    </w:lvl>
    <w:lvl w:ilvl="1">
      <w:start w:val="1"/>
      <w:numFmt w:val="upperLetter"/>
      <w:pStyle w:val="AFGTitre2"/>
      <w:lvlText w:val="%1.%2."/>
      <w:lvlJc w:val="left"/>
      <w:pPr>
        <w:ind w:left="0" w:firstLine="0"/>
      </w:pPr>
      <w:rPr>
        <w:rFonts w:hint="default"/>
      </w:rPr>
    </w:lvl>
    <w:lvl w:ilvl="2">
      <w:start w:val="1"/>
      <w:numFmt w:val="decimal"/>
      <w:pStyle w:val="AFGTitre3"/>
      <w:suff w:val="space"/>
      <w:lvlText w:val="%1.%2.%3."/>
      <w:lvlJc w:val="left"/>
      <w:pPr>
        <w:ind w:left="0" w:firstLine="0"/>
      </w:pPr>
      <w:rPr>
        <w:rFonts w:hint="default"/>
      </w:rPr>
    </w:lvl>
    <w:lvl w:ilvl="3">
      <w:start w:val="1"/>
      <w:numFmt w:val="lowerLetter"/>
      <w:pStyle w:val="AFGTitre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6433B4"/>
    <w:multiLevelType w:val="hybridMultilevel"/>
    <w:tmpl w:val="EBEEBD36"/>
    <w:lvl w:ilvl="0" w:tplc="A7D4F5D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573983"/>
    <w:multiLevelType w:val="hybridMultilevel"/>
    <w:tmpl w:val="2BD4DFAE"/>
    <w:lvl w:ilvl="0" w:tplc="9F88C256">
      <w:start w:val="1"/>
      <w:numFmt w:val="bullet"/>
      <w:pStyle w:val="AFGPucetableau"/>
      <w:lvlText w:val=""/>
      <w:lvlJc w:val="left"/>
      <w:pPr>
        <w:ind w:left="720" w:hanging="360"/>
      </w:pPr>
      <w:rPr>
        <w:rFonts w:ascii="Wingdings" w:hAnsi="Wingdings"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CD5652"/>
    <w:multiLevelType w:val="hybridMultilevel"/>
    <w:tmpl w:val="D284D25C"/>
    <w:lvl w:ilvl="0" w:tplc="1506D668">
      <w:numFmt w:val="bullet"/>
      <w:lvlText w:val="-"/>
      <w:lvlJc w:val="left"/>
      <w:pPr>
        <w:ind w:left="1080" w:hanging="360"/>
      </w:pPr>
      <w:rPr>
        <w:rFonts w:ascii="Montserrat" w:eastAsiaTheme="minorHAnsi" w:hAnsi="Montserra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8FC665E"/>
    <w:multiLevelType w:val="hybridMultilevel"/>
    <w:tmpl w:val="149E7254"/>
    <w:lvl w:ilvl="0" w:tplc="82E043DE">
      <w:start w:val="1"/>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95529F2"/>
    <w:multiLevelType w:val="hybridMultilevel"/>
    <w:tmpl w:val="4C04B246"/>
    <w:lvl w:ilvl="0" w:tplc="051A1208">
      <w:start w:val="1"/>
      <w:numFmt w:val="bullet"/>
      <w:lvlText w:val=""/>
      <w:lvlPicBulletId w:val="3"/>
      <w:lvlJc w:val="left"/>
      <w:pPr>
        <w:ind w:left="1514" w:hanging="360"/>
      </w:pPr>
      <w:rPr>
        <w:rFonts w:ascii="Symbol" w:hAnsi="Symbol" w:hint="default"/>
        <w:color w:val="auto"/>
      </w:rPr>
    </w:lvl>
    <w:lvl w:ilvl="1" w:tplc="0E44A82C">
      <w:start w:val="1"/>
      <w:numFmt w:val="bullet"/>
      <w:lvlText w:val=""/>
      <w:lvlPicBulletId w:val="4"/>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0953BB"/>
    <w:multiLevelType w:val="hybridMultilevel"/>
    <w:tmpl w:val="2EAC010C"/>
    <w:lvl w:ilvl="0" w:tplc="FCBAF3E8">
      <w:start w:val="1"/>
      <w:numFmt w:val="bullet"/>
      <w:lvlText w:val=""/>
      <w:lvlJc w:val="left"/>
      <w:pPr>
        <w:ind w:left="1060" w:hanging="360"/>
      </w:pPr>
      <w:rPr>
        <w:rFonts w:ascii="Symbol" w:hAnsi="Symbol" w:hint="default"/>
        <w:color w:val="449DD7" w:themeColor="accent1"/>
        <w:w w:val="100"/>
        <w:sz w:val="2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15:restartNumberingAfterBreak="0">
    <w:nsid w:val="71AA644C"/>
    <w:multiLevelType w:val="hybridMultilevel"/>
    <w:tmpl w:val="B84605CC"/>
    <w:lvl w:ilvl="0" w:tplc="E1D06AD2">
      <w:start w:val="1"/>
      <w:numFmt w:val="bullet"/>
      <w:pStyle w:val="AFGPuce1Noir"/>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1" w15:restartNumberingAfterBreak="0">
    <w:nsid w:val="737528B4"/>
    <w:multiLevelType w:val="hybridMultilevel"/>
    <w:tmpl w:val="049642F4"/>
    <w:lvl w:ilvl="0" w:tplc="7B72274C">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7320861">
    <w:abstractNumId w:val="5"/>
  </w:num>
  <w:num w:numId="2" w16cid:durableId="586960988">
    <w:abstractNumId w:val="13"/>
  </w:num>
  <w:num w:numId="3" w16cid:durableId="323975041">
    <w:abstractNumId w:val="6"/>
  </w:num>
  <w:num w:numId="4" w16cid:durableId="1400909801">
    <w:abstractNumId w:val="2"/>
  </w:num>
  <w:num w:numId="5" w16cid:durableId="1059672863">
    <w:abstractNumId w:val="9"/>
  </w:num>
  <w:num w:numId="6" w16cid:durableId="439296121">
    <w:abstractNumId w:val="11"/>
  </w:num>
  <w:num w:numId="7" w16cid:durableId="70393691">
    <w:abstractNumId w:val="10"/>
  </w:num>
  <w:num w:numId="8" w16cid:durableId="1661692888">
    <w:abstractNumId w:val="19"/>
  </w:num>
  <w:num w:numId="9" w16cid:durableId="897545623">
    <w:abstractNumId w:val="12"/>
  </w:num>
  <w:num w:numId="10" w16cid:durableId="1941909342">
    <w:abstractNumId w:val="15"/>
  </w:num>
  <w:num w:numId="11" w16cid:durableId="803236020">
    <w:abstractNumId w:val="20"/>
  </w:num>
  <w:num w:numId="12" w16cid:durableId="1593589629">
    <w:abstractNumId w:val="8"/>
  </w:num>
  <w:num w:numId="13" w16cid:durableId="1270044143">
    <w:abstractNumId w:val="1"/>
  </w:num>
  <w:num w:numId="14" w16cid:durableId="513224752">
    <w:abstractNumId w:val="18"/>
  </w:num>
  <w:num w:numId="15" w16cid:durableId="1683703468">
    <w:abstractNumId w:val="7"/>
  </w:num>
  <w:num w:numId="16" w16cid:durableId="436827986">
    <w:abstractNumId w:val="4"/>
  </w:num>
  <w:num w:numId="17" w16cid:durableId="1583947421">
    <w:abstractNumId w:val="3"/>
  </w:num>
  <w:num w:numId="18" w16cid:durableId="2033803208">
    <w:abstractNumId w:val="0"/>
  </w:num>
  <w:num w:numId="19" w16cid:durableId="896403991">
    <w:abstractNumId w:val="21"/>
  </w:num>
  <w:num w:numId="20" w16cid:durableId="1255939340">
    <w:abstractNumId w:val="16"/>
  </w:num>
  <w:num w:numId="21" w16cid:durableId="588998965">
    <w:abstractNumId w:val="14"/>
  </w:num>
  <w:num w:numId="22" w16cid:durableId="1197809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ED"/>
    <w:rsid w:val="0000677D"/>
    <w:rsid w:val="000110E4"/>
    <w:rsid w:val="000207CE"/>
    <w:rsid w:val="00021747"/>
    <w:rsid w:val="00030182"/>
    <w:rsid w:val="00031260"/>
    <w:rsid w:val="0005055D"/>
    <w:rsid w:val="00066142"/>
    <w:rsid w:val="000668D1"/>
    <w:rsid w:val="00085FD2"/>
    <w:rsid w:val="00093B00"/>
    <w:rsid w:val="000A607F"/>
    <w:rsid w:val="000D33B2"/>
    <w:rsid w:val="000F5824"/>
    <w:rsid w:val="00105072"/>
    <w:rsid w:val="001073D3"/>
    <w:rsid w:val="00111503"/>
    <w:rsid w:val="00111721"/>
    <w:rsid w:val="00124C7F"/>
    <w:rsid w:val="00143ED6"/>
    <w:rsid w:val="00144E26"/>
    <w:rsid w:val="00151E45"/>
    <w:rsid w:val="001662A0"/>
    <w:rsid w:val="00166D97"/>
    <w:rsid w:val="00170275"/>
    <w:rsid w:val="00170BAC"/>
    <w:rsid w:val="00172EA5"/>
    <w:rsid w:val="0018143D"/>
    <w:rsid w:val="0018176D"/>
    <w:rsid w:val="001912CD"/>
    <w:rsid w:val="00193375"/>
    <w:rsid w:val="001A0368"/>
    <w:rsid w:val="001C7BA1"/>
    <w:rsid w:val="001D1589"/>
    <w:rsid w:val="001D15C8"/>
    <w:rsid w:val="001D18DC"/>
    <w:rsid w:val="001E37E5"/>
    <w:rsid w:val="001E4ECD"/>
    <w:rsid w:val="001F36CD"/>
    <w:rsid w:val="002204D7"/>
    <w:rsid w:val="00261A39"/>
    <w:rsid w:val="00266EAB"/>
    <w:rsid w:val="002806C7"/>
    <w:rsid w:val="002845F4"/>
    <w:rsid w:val="002858E6"/>
    <w:rsid w:val="00295CB2"/>
    <w:rsid w:val="00297127"/>
    <w:rsid w:val="002B050B"/>
    <w:rsid w:val="002C7BB8"/>
    <w:rsid w:val="002E1852"/>
    <w:rsid w:val="002E4E86"/>
    <w:rsid w:val="002E6638"/>
    <w:rsid w:val="003151AC"/>
    <w:rsid w:val="003377D5"/>
    <w:rsid w:val="00340009"/>
    <w:rsid w:val="003505A2"/>
    <w:rsid w:val="00352B03"/>
    <w:rsid w:val="003548ED"/>
    <w:rsid w:val="00375C34"/>
    <w:rsid w:val="003C52BA"/>
    <w:rsid w:val="003D4FE4"/>
    <w:rsid w:val="003E6F47"/>
    <w:rsid w:val="00417D91"/>
    <w:rsid w:val="00443BC5"/>
    <w:rsid w:val="00446A45"/>
    <w:rsid w:val="0045302B"/>
    <w:rsid w:val="00464160"/>
    <w:rsid w:val="004717A1"/>
    <w:rsid w:val="00480101"/>
    <w:rsid w:val="0048699B"/>
    <w:rsid w:val="00487902"/>
    <w:rsid w:val="0049104A"/>
    <w:rsid w:val="0049406C"/>
    <w:rsid w:val="004B352A"/>
    <w:rsid w:val="004B76C0"/>
    <w:rsid w:val="004D4E01"/>
    <w:rsid w:val="004D7855"/>
    <w:rsid w:val="004E5B6B"/>
    <w:rsid w:val="005106FE"/>
    <w:rsid w:val="00510EE4"/>
    <w:rsid w:val="005144E0"/>
    <w:rsid w:val="00520EF6"/>
    <w:rsid w:val="00530710"/>
    <w:rsid w:val="0053188A"/>
    <w:rsid w:val="00532D98"/>
    <w:rsid w:val="005647DF"/>
    <w:rsid w:val="00565543"/>
    <w:rsid w:val="00567A38"/>
    <w:rsid w:val="005B5593"/>
    <w:rsid w:val="005C15F5"/>
    <w:rsid w:val="005C5E8E"/>
    <w:rsid w:val="005D0B40"/>
    <w:rsid w:val="006001FD"/>
    <w:rsid w:val="00624BD2"/>
    <w:rsid w:val="00634968"/>
    <w:rsid w:val="00642F60"/>
    <w:rsid w:val="00666CEF"/>
    <w:rsid w:val="006705FF"/>
    <w:rsid w:val="006842EB"/>
    <w:rsid w:val="006A03E8"/>
    <w:rsid w:val="006D27AF"/>
    <w:rsid w:val="006E1A96"/>
    <w:rsid w:val="006E3417"/>
    <w:rsid w:val="006F7CD2"/>
    <w:rsid w:val="0070292D"/>
    <w:rsid w:val="007052AE"/>
    <w:rsid w:val="00710280"/>
    <w:rsid w:val="00720BA4"/>
    <w:rsid w:val="00724E52"/>
    <w:rsid w:val="007251FD"/>
    <w:rsid w:val="0074181C"/>
    <w:rsid w:val="00747E1D"/>
    <w:rsid w:val="007531C4"/>
    <w:rsid w:val="007573FC"/>
    <w:rsid w:val="007579A8"/>
    <w:rsid w:val="00767764"/>
    <w:rsid w:val="007711D3"/>
    <w:rsid w:val="00775978"/>
    <w:rsid w:val="00783144"/>
    <w:rsid w:val="00796137"/>
    <w:rsid w:val="007A0187"/>
    <w:rsid w:val="007B6294"/>
    <w:rsid w:val="0081494C"/>
    <w:rsid w:val="00834709"/>
    <w:rsid w:val="00837DBB"/>
    <w:rsid w:val="008501C2"/>
    <w:rsid w:val="008B7FF7"/>
    <w:rsid w:val="008C49EF"/>
    <w:rsid w:val="008D68F0"/>
    <w:rsid w:val="008F1E30"/>
    <w:rsid w:val="009023FA"/>
    <w:rsid w:val="009075D2"/>
    <w:rsid w:val="00912FF2"/>
    <w:rsid w:val="0091665B"/>
    <w:rsid w:val="00942879"/>
    <w:rsid w:val="00944A5F"/>
    <w:rsid w:val="00956F50"/>
    <w:rsid w:val="00972DE4"/>
    <w:rsid w:val="0098317D"/>
    <w:rsid w:val="009912C5"/>
    <w:rsid w:val="009B42FE"/>
    <w:rsid w:val="009D2920"/>
    <w:rsid w:val="00A02DF9"/>
    <w:rsid w:val="00A1017F"/>
    <w:rsid w:val="00A13341"/>
    <w:rsid w:val="00A159B1"/>
    <w:rsid w:val="00A43C95"/>
    <w:rsid w:val="00A45AED"/>
    <w:rsid w:val="00A538EA"/>
    <w:rsid w:val="00A66781"/>
    <w:rsid w:val="00A90443"/>
    <w:rsid w:val="00A91E47"/>
    <w:rsid w:val="00AA2B29"/>
    <w:rsid w:val="00AB58B1"/>
    <w:rsid w:val="00AB7CF8"/>
    <w:rsid w:val="00AE754E"/>
    <w:rsid w:val="00AF230D"/>
    <w:rsid w:val="00AF7283"/>
    <w:rsid w:val="00B01CEA"/>
    <w:rsid w:val="00B121E5"/>
    <w:rsid w:val="00B139B8"/>
    <w:rsid w:val="00B65A3A"/>
    <w:rsid w:val="00B67535"/>
    <w:rsid w:val="00B853D8"/>
    <w:rsid w:val="00BA429A"/>
    <w:rsid w:val="00BB6830"/>
    <w:rsid w:val="00BD324B"/>
    <w:rsid w:val="00BD5FE5"/>
    <w:rsid w:val="00BE4095"/>
    <w:rsid w:val="00BE4698"/>
    <w:rsid w:val="00C22EBD"/>
    <w:rsid w:val="00C312AB"/>
    <w:rsid w:val="00C40552"/>
    <w:rsid w:val="00C433EA"/>
    <w:rsid w:val="00C53693"/>
    <w:rsid w:val="00C564C1"/>
    <w:rsid w:val="00C62F98"/>
    <w:rsid w:val="00C74D9C"/>
    <w:rsid w:val="00C77E41"/>
    <w:rsid w:val="00C819EA"/>
    <w:rsid w:val="00C81CD0"/>
    <w:rsid w:val="00C91E7C"/>
    <w:rsid w:val="00C95FAC"/>
    <w:rsid w:val="00C966F6"/>
    <w:rsid w:val="00CC18E1"/>
    <w:rsid w:val="00CD6474"/>
    <w:rsid w:val="00D0486B"/>
    <w:rsid w:val="00D05BEC"/>
    <w:rsid w:val="00D05CF5"/>
    <w:rsid w:val="00D123AC"/>
    <w:rsid w:val="00D333CE"/>
    <w:rsid w:val="00D47A6E"/>
    <w:rsid w:val="00DA5F52"/>
    <w:rsid w:val="00DB60EA"/>
    <w:rsid w:val="00DC35EE"/>
    <w:rsid w:val="00DD0965"/>
    <w:rsid w:val="00DE7DC9"/>
    <w:rsid w:val="00DF1884"/>
    <w:rsid w:val="00E055AB"/>
    <w:rsid w:val="00E120D6"/>
    <w:rsid w:val="00E30FEE"/>
    <w:rsid w:val="00E344F9"/>
    <w:rsid w:val="00E34FF5"/>
    <w:rsid w:val="00E477B7"/>
    <w:rsid w:val="00E5396E"/>
    <w:rsid w:val="00E561ED"/>
    <w:rsid w:val="00E60A77"/>
    <w:rsid w:val="00E742DA"/>
    <w:rsid w:val="00E91BF0"/>
    <w:rsid w:val="00EB299C"/>
    <w:rsid w:val="00EB72E3"/>
    <w:rsid w:val="00EC10A7"/>
    <w:rsid w:val="00EC7C66"/>
    <w:rsid w:val="00ED11F9"/>
    <w:rsid w:val="00ED7D1A"/>
    <w:rsid w:val="00EE0D42"/>
    <w:rsid w:val="00F00040"/>
    <w:rsid w:val="00F036D5"/>
    <w:rsid w:val="00F0503F"/>
    <w:rsid w:val="00F064C2"/>
    <w:rsid w:val="00F1057A"/>
    <w:rsid w:val="00F148A0"/>
    <w:rsid w:val="00F235A1"/>
    <w:rsid w:val="00F240D2"/>
    <w:rsid w:val="00F26C9A"/>
    <w:rsid w:val="00F274FB"/>
    <w:rsid w:val="00F3051E"/>
    <w:rsid w:val="00F44641"/>
    <w:rsid w:val="00F50729"/>
    <w:rsid w:val="00F510CB"/>
    <w:rsid w:val="00F70A68"/>
    <w:rsid w:val="00F7272E"/>
    <w:rsid w:val="00F74B46"/>
    <w:rsid w:val="00F841D8"/>
    <w:rsid w:val="00F92C08"/>
    <w:rsid w:val="00F9398E"/>
    <w:rsid w:val="00FA2497"/>
    <w:rsid w:val="00FD7D78"/>
    <w:rsid w:val="00FE4EAC"/>
    <w:rsid w:val="00FF3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BD54F0B"/>
  <w15:chartTrackingRefBased/>
  <w15:docId w15:val="{7FDB144B-1FF4-4BB3-89CA-A5372D9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F230D"/>
  </w:style>
  <w:style w:type="paragraph" w:styleId="Titre1">
    <w:name w:val="heading 1"/>
    <w:basedOn w:val="Normal"/>
    <w:next w:val="Normal"/>
    <w:link w:val="Titre1Car"/>
    <w:uiPriority w:val="9"/>
    <w:semiHidden/>
    <w:qFormat/>
    <w:rsid w:val="00BE4698"/>
    <w:pPr>
      <w:keepNext/>
      <w:keepLines/>
      <w:spacing w:before="240" w:after="0"/>
      <w:outlineLvl w:val="0"/>
    </w:pPr>
    <w:rPr>
      <w:rFonts w:asciiTheme="majorHAnsi" w:eastAsiaTheme="majorEastAsia" w:hAnsiTheme="majorHAnsi" w:cstheme="majorBidi"/>
      <w:color w:val="2578AE" w:themeColor="accent1" w:themeShade="BF"/>
      <w:sz w:val="32"/>
      <w:szCs w:val="32"/>
    </w:rPr>
  </w:style>
  <w:style w:type="paragraph" w:styleId="Titre2">
    <w:name w:val="heading 2"/>
    <w:basedOn w:val="Normal"/>
    <w:next w:val="Normal"/>
    <w:link w:val="Titre2Car"/>
    <w:uiPriority w:val="9"/>
    <w:semiHidden/>
    <w:qFormat/>
    <w:rsid w:val="00BE4698"/>
    <w:pPr>
      <w:keepNext/>
      <w:keepLines/>
      <w:spacing w:before="40" w:after="0"/>
      <w:outlineLvl w:val="1"/>
    </w:pPr>
    <w:rPr>
      <w:rFonts w:asciiTheme="majorHAnsi" w:eastAsiaTheme="majorEastAsia" w:hAnsiTheme="majorHAnsi" w:cstheme="majorBidi"/>
      <w:color w:val="2578AE" w:themeColor="accent1" w:themeShade="BF"/>
      <w:sz w:val="26"/>
      <w:szCs w:val="26"/>
    </w:rPr>
  </w:style>
  <w:style w:type="paragraph" w:styleId="Titre3">
    <w:name w:val="heading 3"/>
    <w:basedOn w:val="Normal"/>
    <w:next w:val="Normal"/>
    <w:link w:val="Titre3Car"/>
    <w:uiPriority w:val="9"/>
    <w:semiHidden/>
    <w:unhideWhenUsed/>
    <w:qFormat/>
    <w:rsid w:val="00BE4698"/>
    <w:pPr>
      <w:keepNext/>
      <w:keepLines/>
      <w:spacing w:before="40" w:after="0"/>
      <w:outlineLvl w:val="2"/>
    </w:pPr>
    <w:rPr>
      <w:rFonts w:asciiTheme="majorHAnsi" w:eastAsiaTheme="majorEastAsia" w:hAnsiTheme="majorHAnsi" w:cstheme="majorBidi"/>
      <w:color w:val="184F73" w:themeColor="accent1" w:themeShade="7F"/>
      <w:sz w:val="24"/>
      <w:szCs w:val="24"/>
    </w:rPr>
  </w:style>
  <w:style w:type="paragraph" w:styleId="Titre4">
    <w:name w:val="heading 4"/>
    <w:basedOn w:val="Normal"/>
    <w:next w:val="Normal"/>
    <w:link w:val="Titre4Car"/>
    <w:uiPriority w:val="9"/>
    <w:semiHidden/>
    <w:unhideWhenUsed/>
    <w:qFormat/>
    <w:rsid w:val="00BE4698"/>
    <w:pPr>
      <w:keepNext/>
      <w:keepLines/>
      <w:spacing w:before="40" w:after="0"/>
      <w:outlineLvl w:val="3"/>
    </w:pPr>
    <w:rPr>
      <w:rFonts w:asciiTheme="majorHAnsi" w:eastAsiaTheme="majorEastAsia" w:hAnsiTheme="majorHAnsi" w:cstheme="majorBidi"/>
      <w:i/>
      <w:iCs/>
      <w:color w:val="2578A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34FF5"/>
    <w:pPr>
      <w:tabs>
        <w:tab w:val="center" w:pos="4536"/>
        <w:tab w:val="right" w:pos="9072"/>
      </w:tabs>
      <w:spacing w:after="0" w:line="240" w:lineRule="auto"/>
    </w:pPr>
    <w:rPr>
      <w:rFonts w:cs="Times New Roman (Corps CS)"/>
      <w:caps/>
      <w:color w:val="164194" w:themeColor="text2"/>
      <w:sz w:val="30"/>
      <w:szCs w:val="30"/>
    </w:rPr>
  </w:style>
  <w:style w:type="character" w:customStyle="1" w:styleId="En-tteCar">
    <w:name w:val="En-tête Car"/>
    <w:basedOn w:val="Policepardfaut"/>
    <w:link w:val="En-tte"/>
    <w:uiPriority w:val="99"/>
    <w:rsid w:val="00AF230D"/>
    <w:rPr>
      <w:rFonts w:cs="Times New Roman (Corps CS)"/>
      <w:caps/>
      <w:color w:val="164194" w:themeColor="text2"/>
      <w:sz w:val="30"/>
      <w:szCs w:val="30"/>
    </w:rPr>
  </w:style>
  <w:style w:type="paragraph" w:styleId="Pieddepage">
    <w:name w:val="footer"/>
    <w:basedOn w:val="Normal"/>
    <w:link w:val="PieddepageCar"/>
    <w:uiPriority w:val="99"/>
    <w:semiHidden/>
    <w:rsid w:val="00532D98"/>
    <w:pPr>
      <w:tabs>
        <w:tab w:val="center" w:pos="4536"/>
        <w:tab w:val="right" w:pos="10206"/>
      </w:tabs>
      <w:spacing w:after="0" w:line="240" w:lineRule="auto"/>
      <w:ind w:left="-227" w:right="-227"/>
    </w:pPr>
    <w:rPr>
      <w:noProof/>
      <w:color w:val="164194" w:themeColor="text2"/>
      <w:sz w:val="17"/>
      <w:szCs w:val="17"/>
    </w:rPr>
  </w:style>
  <w:style w:type="character" w:customStyle="1" w:styleId="PieddepageCar">
    <w:name w:val="Pied de page Car"/>
    <w:basedOn w:val="Policepardfaut"/>
    <w:link w:val="Pieddepage"/>
    <w:uiPriority w:val="99"/>
    <w:semiHidden/>
    <w:rsid w:val="00532D98"/>
    <w:rPr>
      <w:noProof/>
      <w:color w:val="164194" w:themeColor="text2"/>
      <w:sz w:val="17"/>
      <w:szCs w:val="17"/>
    </w:rPr>
  </w:style>
  <w:style w:type="paragraph" w:customStyle="1" w:styleId="AFGCatgoriededocumentCollection">
    <w:name w:val="AFG_Catégorie de document/Collection"/>
    <w:basedOn w:val="Normal"/>
    <w:qFormat/>
    <w:rsid w:val="00E055AB"/>
    <w:pPr>
      <w:spacing w:after="0" w:line="192" w:lineRule="auto"/>
      <w:ind w:right="2155"/>
    </w:pPr>
    <w:rPr>
      <w:rFonts w:asciiTheme="majorHAnsi" w:hAnsiTheme="majorHAnsi" w:cs="Times New Roman (Corps CS)"/>
      <w:b/>
      <w:bCs/>
      <w:caps/>
      <w:color w:val="A2B3D4" w:themeColor="accent6"/>
      <w:sz w:val="36"/>
      <w:szCs w:val="36"/>
    </w:rPr>
  </w:style>
  <w:style w:type="paragraph" w:customStyle="1" w:styleId="AFGTitreduDocument">
    <w:name w:val="AFG_Titre du Document"/>
    <w:basedOn w:val="Normal"/>
    <w:qFormat/>
    <w:rsid w:val="00C91E7C"/>
    <w:pPr>
      <w:spacing w:before="120" w:after="0" w:line="240" w:lineRule="auto"/>
    </w:pPr>
    <w:rPr>
      <w:rFonts w:ascii="Montserrat SemiBold" w:hAnsi="Montserrat SemiBold"/>
      <w:b/>
      <w:bCs/>
      <w:color w:val="FFFFFF" w:themeColor="background1"/>
      <w:sz w:val="50"/>
      <w:szCs w:val="50"/>
    </w:rPr>
  </w:style>
  <w:style w:type="paragraph" w:customStyle="1" w:styleId="AFGDate">
    <w:name w:val="AFG_Date"/>
    <w:basedOn w:val="Normal"/>
    <w:qFormat/>
    <w:rsid w:val="00532D98"/>
    <w:pPr>
      <w:spacing w:after="60" w:line="240" w:lineRule="auto"/>
    </w:pPr>
    <w:rPr>
      <w:rFonts w:cs="Times New Roman (Corps CS)"/>
      <w:caps/>
      <w:color w:val="FFFFFF" w:themeColor="background1"/>
      <w:sz w:val="24"/>
      <w:szCs w:val="24"/>
    </w:rPr>
  </w:style>
  <w:style w:type="paragraph" w:customStyle="1" w:styleId="AFGTextecourant">
    <w:name w:val="AFG_Texte courant"/>
    <w:basedOn w:val="Normal"/>
    <w:uiPriority w:val="5"/>
    <w:qFormat/>
    <w:rsid w:val="003548ED"/>
    <w:pPr>
      <w:spacing w:before="120" w:after="0" w:line="240" w:lineRule="auto"/>
      <w:ind w:left="340"/>
    </w:pPr>
    <w:rPr>
      <w:sz w:val="20"/>
      <w:szCs w:val="20"/>
    </w:rPr>
  </w:style>
  <w:style w:type="paragraph" w:customStyle="1" w:styleId="AFGTexteintro">
    <w:name w:val="AFG_Texte intro"/>
    <w:basedOn w:val="AFGTextecourant"/>
    <w:uiPriority w:val="1"/>
    <w:qFormat/>
    <w:rsid w:val="00F274FB"/>
    <w:pPr>
      <w:spacing w:before="115"/>
      <w:ind w:left="1191" w:right="1191"/>
      <w:jc w:val="both"/>
    </w:pPr>
    <w:rPr>
      <w:color w:val="164194" w:themeColor="text2"/>
    </w:rPr>
  </w:style>
  <w:style w:type="paragraph" w:customStyle="1" w:styleId="AFGPuceintro">
    <w:name w:val="AFG_Puce intro"/>
    <w:basedOn w:val="AFGTexteintro"/>
    <w:uiPriority w:val="2"/>
    <w:qFormat/>
    <w:rsid w:val="00F148A0"/>
    <w:pPr>
      <w:numPr>
        <w:ilvl w:val="1"/>
        <w:numId w:val="1"/>
      </w:numPr>
      <w:tabs>
        <w:tab w:val="left" w:pos="1701"/>
      </w:tabs>
      <w:spacing w:before="120"/>
      <w:ind w:left="1474" w:firstLine="0"/>
    </w:pPr>
  </w:style>
  <w:style w:type="paragraph" w:customStyle="1" w:styleId="AFGEncadrIntro">
    <w:name w:val="AFG_Encadré Intro"/>
    <w:basedOn w:val="Normal"/>
    <w:uiPriority w:val="3"/>
    <w:qFormat/>
    <w:rsid w:val="00F274FB"/>
    <w:pPr>
      <w:spacing w:before="120" w:after="0" w:line="240" w:lineRule="auto"/>
    </w:pPr>
    <w:rPr>
      <w:color w:val="FFFFFF" w:themeColor="background1"/>
    </w:rPr>
  </w:style>
  <w:style w:type="table" w:styleId="Grilledutableau">
    <w:name w:val="Table Grid"/>
    <w:basedOn w:val="TableauNormal"/>
    <w:uiPriority w:val="59"/>
    <w:rsid w:val="0022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GTitre1">
    <w:name w:val="AFG_Titre 1"/>
    <w:basedOn w:val="Normal"/>
    <w:uiPriority w:val="4"/>
    <w:qFormat/>
    <w:rsid w:val="00BE4698"/>
    <w:pPr>
      <w:keepNext/>
      <w:numPr>
        <w:numId w:val="2"/>
      </w:numPr>
      <w:spacing w:before="240" w:after="0" w:line="216" w:lineRule="auto"/>
      <w:outlineLvl w:val="0"/>
    </w:pPr>
    <w:rPr>
      <w:rFonts w:asciiTheme="majorHAnsi" w:hAnsiTheme="majorHAnsi"/>
      <w:b/>
      <w:bCs/>
      <w:color w:val="164194" w:themeColor="text2"/>
      <w:sz w:val="28"/>
      <w:szCs w:val="28"/>
    </w:rPr>
  </w:style>
  <w:style w:type="paragraph" w:customStyle="1" w:styleId="AFGTitre2">
    <w:name w:val="AFG_Titre 2"/>
    <w:basedOn w:val="Normal"/>
    <w:uiPriority w:val="4"/>
    <w:qFormat/>
    <w:rsid w:val="001F36CD"/>
    <w:pPr>
      <w:keepNext/>
      <w:numPr>
        <w:ilvl w:val="1"/>
        <w:numId w:val="2"/>
      </w:numPr>
      <w:spacing w:before="240" w:after="0" w:line="216" w:lineRule="auto"/>
      <w:outlineLvl w:val="1"/>
    </w:pPr>
    <w:rPr>
      <w:rFonts w:asciiTheme="majorHAnsi" w:hAnsiTheme="majorHAnsi" w:cs="Times New Roman (Corps CS)"/>
      <w:b/>
      <w:bCs/>
      <w:caps/>
      <w:color w:val="164194" w:themeColor="text2"/>
      <w:sz w:val="24"/>
      <w:szCs w:val="24"/>
    </w:rPr>
  </w:style>
  <w:style w:type="paragraph" w:customStyle="1" w:styleId="AFGTitre3">
    <w:name w:val="AFG_Titre 3"/>
    <w:basedOn w:val="Normal"/>
    <w:uiPriority w:val="4"/>
    <w:qFormat/>
    <w:rsid w:val="001F36CD"/>
    <w:pPr>
      <w:keepNext/>
      <w:numPr>
        <w:ilvl w:val="2"/>
        <w:numId w:val="2"/>
      </w:numPr>
      <w:spacing w:before="240" w:after="0" w:line="240" w:lineRule="auto"/>
      <w:ind w:left="340"/>
      <w:outlineLvl w:val="2"/>
    </w:pPr>
    <w:rPr>
      <w:b/>
      <w:bCs/>
      <w:color w:val="1DBADF" w:themeColor="background2"/>
      <w:sz w:val="24"/>
      <w:szCs w:val="24"/>
    </w:rPr>
  </w:style>
  <w:style w:type="paragraph" w:customStyle="1" w:styleId="AFGTitre4">
    <w:name w:val="AFG_Titre 4"/>
    <w:basedOn w:val="Normal"/>
    <w:uiPriority w:val="4"/>
    <w:qFormat/>
    <w:rsid w:val="001F36CD"/>
    <w:pPr>
      <w:keepNext/>
      <w:numPr>
        <w:ilvl w:val="3"/>
        <w:numId w:val="2"/>
      </w:numPr>
      <w:spacing w:before="120" w:after="0" w:line="240" w:lineRule="auto"/>
      <w:ind w:left="794"/>
      <w:outlineLvl w:val="3"/>
    </w:pPr>
    <w:rPr>
      <w:b/>
      <w:bCs/>
      <w:color w:val="164194" w:themeColor="text2"/>
      <w:sz w:val="20"/>
      <w:szCs w:val="20"/>
    </w:rPr>
  </w:style>
  <w:style w:type="paragraph" w:customStyle="1" w:styleId="AFGPuce1">
    <w:name w:val="AFG_Puce 1"/>
    <w:basedOn w:val="AFGTextecourant"/>
    <w:uiPriority w:val="6"/>
    <w:qFormat/>
    <w:rsid w:val="00297127"/>
    <w:pPr>
      <w:numPr>
        <w:numId w:val="3"/>
      </w:numPr>
      <w:ind w:left="1248" w:hanging="227"/>
    </w:pPr>
    <w:rPr>
      <w:b/>
      <w:color w:val="449DD7" w:themeColor="accent1"/>
    </w:rPr>
  </w:style>
  <w:style w:type="paragraph" w:customStyle="1" w:styleId="AFGTexteretrait1">
    <w:name w:val="AFG_Texte retrait 1"/>
    <w:basedOn w:val="AFGTextecourant"/>
    <w:uiPriority w:val="7"/>
    <w:qFormat/>
    <w:rsid w:val="00BE4698"/>
    <w:pPr>
      <w:spacing w:before="80"/>
      <w:ind w:left="1247"/>
    </w:pPr>
  </w:style>
  <w:style w:type="paragraph" w:customStyle="1" w:styleId="AFGPuce2">
    <w:name w:val="AFG_Puce 2"/>
    <w:basedOn w:val="AFGTextecourant"/>
    <w:uiPriority w:val="6"/>
    <w:qFormat/>
    <w:rsid w:val="00297127"/>
    <w:pPr>
      <w:numPr>
        <w:numId w:val="7"/>
      </w:numPr>
      <w:ind w:left="1531" w:hanging="284"/>
    </w:pPr>
    <w:rPr>
      <w:rFonts w:ascii="Montserrat Medium" w:hAnsi="Montserrat Medium"/>
      <w:color w:val="449DD7" w:themeColor="accent1"/>
    </w:rPr>
  </w:style>
  <w:style w:type="paragraph" w:customStyle="1" w:styleId="AFGTexteretrait2">
    <w:name w:val="AFG_Texte retrait 2"/>
    <w:basedOn w:val="AFGTextecourant"/>
    <w:uiPriority w:val="7"/>
    <w:qFormat/>
    <w:rsid w:val="00BE4698"/>
    <w:pPr>
      <w:spacing w:before="80"/>
      <w:ind w:left="1531"/>
    </w:pPr>
  </w:style>
  <w:style w:type="paragraph" w:customStyle="1" w:styleId="AFGTexteretrait">
    <w:name w:val="AFG_Texte retrait"/>
    <w:basedOn w:val="AFGTextecourant"/>
    <w:uiPriority w:val="7"/>
    <w:qFormat/>
    <w:rsid w:val="00BE4698"/>
    <w:pPr>
      <w:ind w:left="794"/>
    </w:pPr>
  </w:style>
  <w:style w:type="character" w:customStyle="1" w:styleId="Titre1Car">
    <w:name w:val="Titre 1 Car"/>
    <w:basedOn w:val="Policepardfaut"/>
    <w:link w:val="Titre1"/>
    <w:uiPriority w:val="9"/>
    <w:semiHidden/>
    <w:rsid w:val="00624BD2"/>
    <w:rPr>
      <w:rFonts w:asciiTheme="majorHAnsi" w:eastAsiaTheme="majorEastAsia" w:hAnsiTheme="majorHAnsi" w:cstheme="majorBidi"/>
      <w:color w:val="2578AE" w:themeColor="accent1" w:themeShade="BF"/>
      <w:sz w:val="32"/>
      <w:szCs w:val="32"/>
    </w:rPr>
  </w:style>
  <w:style w:type="paragraph" w:customStyle="1" w:styleId="AFGPuce3">
    <w:name w:val="AFG_Puce 3"/>
    <w:basedOn w:val="Normal"/>
    <w:uiPriority w:val="6"/>
    <w:qFormat/>
    <w:rsid w:val="00BE4698"/>
    <w:pPr>
      <w:numPr>
        <w:numId w:val="9"/>
      </w:numPr>
      <w:spacing w:before="80" w:after="0" w:line="240" w:lineRule="auto"/>
      <w:ind w:left="1815" w:hanging="284"/>
    </w:pPr>
    <w:rPr>
      <w:color w:val="449DD7" w:themeColor="accent1"/>
    </w:rPr>
  </w:style>
  <w:style w:type="character" w:customStyle="1" w:styleId="Titre2Car">
    <w:name w:val="Titre 2 Car"/>
    <w:basedOn w:val="Policepardfaut"/>
    <w:link w:val="Titre2"/>
    <w:uiPriority w:val="9"/>
    <w:semiHidden/>
    <w:rsid w:val="00624BD2"/>
    <w:rPr>
      <w:rFonts w:asciiTheme="majorHAnsi" w:eastAsiaTheme="majorEastAsia" w:hAnsiTheme="majorHAnsi" w:cstheme="majorBidi"/>
      <w:color w:val="2578AE" w:themeColor="accent1" w:themeShade="BF"/>
      <w:sz w:val="26"/>
      <w:szCs w:val="26"/>
    </w:rPr>
  </w:style>
  <w:style w:type="character" w:customStyle="1" w:styleId="Titre3Car">
    <w:name w:val="Titre 3 Car"/>
    <w:basedOn w:val="Policepardfaut"/>
    <w:link w:val="Titre3"/>
    <w:uiPriority w:val="9"/>
    <w:semiHidden/>
    <w:rsid w:val="00BE4698"/>
    <w:rPr>
      <w:rFonts w:asciiTheme="majorHAnsi" w:eastAsiaTheme="majorEastAsia" w:hAnsiTheme="majorHAnsi" w:cstheme="majorBidi"/>
      <w:color w:val="184F73" w:themeColor="accent1" w:themeShade="7F"/>
      <w:sz w:val="24"/>
      <w:szCs w:val="24"/>
    </w:rPr>
  </w:style>
  <w:style w:type="character" w:customStyle="1" w:styleId="Titre4Car">
    <w:name w:val="Titre 4 Car"/>
    <w:basedOn w:val="Policepardfaut"/>
    <w:link w:val="Titre4"/>
    <w:uiPriority w:val="9"/>
    <w:semiHidden/>
    <w:rsid w:val="00BE4698"/>
    <w:rPr>
      <w:rFonts w:asciiTheme="majorHAnsi" w:eastAsiaTheme="majorEastAsia" w:hAnsiTheme="majorHAnsi" w:cstheme="majorBidi"/>
      <w:i/>
      <w:iCs/>
      <w:color w:val="2578AE" w:themeColor="accent1" w:themeShade="BF"/>
    </w:rPr>
  </w:style>
  <w:style w:type="paragraph" w:styleId="TM1">
    <w:name w:val="toc 1"/>
    <w:basedOn w:val="Normal"/>
    <w:next w:val="Normal"/>
    <w:uiPriority w:val="39"/>
    <w:rsid w:val="005106FE"/>
    <w:pPr>
      <w:spacing w:before="180" w:after="0" w:line="216" w:lineRule="auto"/>
    </w:pPr>
    <w:rPr>
      <w:rFonts w:asciiTheme="majorHAnsi" w:hAnsiTheme="majorHAnsi"/>
      <w:b/>
      <w:color w:val="164194" w:themeColor="text2"/>
      <w:sz w:val="24"/>
    </w:rPr>
  </w:style>
  <w:style w:type="paragraph" w:styleId="TM2">
    <w:name w:val="toc 2"/>
    <w:basedOn w:val="Normal"/>
    <w:next w:val="Normal"/>
    <w:uiPriority w:val="39"/>
    <w:rsid w:val="005106FE"/>
    <w:pPr>
      <w:spacing w:before="180" w:after="0" w:line="216" w:lineRule="auto"/>
    </w:pPr>
    <w:rPr>
      <w:rFonts w:asciiTheme="majorHAnsi" w:hAnsiTheme="majorHAnsi"/>
      <w:b/>
      <w:color w:val="164194" w:themeColor="text2"/>
      <w:sz w:val="21"/>
    </w:rPr>
  </w:style>
  <w:style w:type="paragraph" w:styleId="TM3">
    <w:name w:val="toc 3"/>
    <w:basedOn w:val="Normal"/>
    <w:next w:val="Normal"/>
    <w:uiPriority w:val="39"/>
    <w:rsid w:val="005106FE"/>
    <w:pPr>
      <w:spacing w:before="60" w:after="0" w:line="240" w:lineRule="auto"/>
      <w:ind w:left="340"/>
    </w:pPr>
    <w:rPr>
      <w:b/>
      <w:color w:val="1DBADF" w:themeColor="background2"/>
      <w:sz w:val="21"/>
    </w:rPr>
  </w:style>
  <w:style w:type="paragraph" w:styleId="TM4">
    <w:name w:val="toc 4"/>
    <w:basedOn w:val="Normal"/>
    <w:next w:val="Normal"/>
    <w:uiPriority w:val="39"/>
    <w:rsid w:val="005106FE"/>
    <w:pPr>
      <w:spacing w:before="60" w:after="0" w:line="240" w:lineRule="auto"/>
      <w:ind w:left="794"/>
    </w:pPr>
    <w:rPr>
      <w:b/>
      <w:color w:val="164194" w:themeColor="text2"/>
      <w:sz w:val="18"/>
    </w:rPr>
  </w:style>
  <w:style w:type="character" w:styleId="Lienhypertexte">
    <w:name w:val="Hyperlink"/>
    <w:basedOn w:val="Policepardfaut"/>
    <w:uiPriority w:val="99"/>
    <w:semiHidden/>
    <w:rsid w:val="00BE4698"/>
    <w:rPr>
      <w:color w:val="0563C1" w:themeColor="hyperlink"/>
      <w:u w:val="single"/>
    </w:rPr>
  </w:style>
  <w:style w:type="paragraph" w:customStyle="1" w:styleId="AFGTexte4edecouverture">
    <w:name w:val="AFG_Texte 4e de couverture"/>
    <w:basedOn w:val="Normal"/>
    <w:uiPriority w:val="9"/>
    <w:qFormat/>
    <w:rsid w:val="00DC35EE"/>
    <w:rPr>
      <w:b/>
      <w:bCs/>
      <w:color w:val="FFFFFF" w:themeColor="background1"/>
      <w:sz w:val="24"/>
      <w:szCs w:val="24"/>
    </w:rPr>
  </w:style>
  <w:style w:type="paragraph" w:customStyle="1" w:styleId="AFGTextetableau">
    <w:name w:val="AFG_Texte tableau"/>
    <w:basedOn w:val="Normal"/>
    <w:uiPriority w:val="8"/>
    <w:qFormat/>
    <w:rsid w:val="00031260"/>
    <w:pPr>
      <w:spacing w:after="0" w:line="240" w:lineRule="auto"/>
    </w:pPr>
    <w:rPr>
      <w:sz w:val="20"/>
      <w:szCs w:val="20"/>
    </w:rPr>
  </w:style>
  <w:style w:type="paragraph" w:customStyle="1" w:styleId="AFGPucetableau">
    <w:name w:val="AFG_Puce tableau"/>
    <w:basedOn w:val="AFGTextetableau"/>
    <w:uiPriority w:val="8"/>
    <w:qFormat/>
    <w:rsid w:val="00031260"/>
    <w:pPr>
      <w:numPr>
        <w:numId w:val="10"/>
      </w:numPr>
      <w:ind w:left="170" w:hanging="170"/>
    </w:pPr>
  </w:style>
  <w:style w:type="table" w:customStyle="1" w:styleId="AFGTableau">
    <w:name w:val="AFG_Tableau"/>
    <w:basedOn w:val="TableauNormal"/>
    <w:uiPriority w:val="99"/>
    <w:rsid w:val="00031260"/>
    <w:pPr>
      <w:spacing w:after="0" w:line="240" w:lineRule="auto"/>
    </w:pPr>
    <w:tblPr>
      <w:tblBorders>
        <w:top w:val="single" w:sz="4" w:space="0" w:color="164194" w:themeColor="text2"/>
        <w:left w:val="single" w:sz="4" w:space="0" w:color="164194" w:themeColor="text2"/>
        <w:bottom w:val="single" w:sz="4" w:space="0" w:color="164194" w:themeColor="text2"/>
        <w:right w:val="single" w:sz="4" w:space="0" w:color="164194" w:themeColor="text2"/>
        <w:insideH w:val="single" w:sz="4" w:space="0" w:color="164194" w:themeColor="text2"/>
        <w:insideV w:val="single" w:sz="4" w:space="0" w:color="164194" w:themeColor="text2"/>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164194" w:themeFill="text2"/>
      </w:tcPr>
    </w:tblStylePr>
  </w:style>
  <w:style w:type="paragraph" w:customStyle="1" w:styleId="AFGEn-ttetableau">
    <w:name w:val="AFG_En-tête tableau"/>
    <w:basedOn w:val="Normal"/>
    <w:uiPriority w:val="8"/>
    <w:qFormat/>
    <w:rsid w:val="00031260"/>
    <w:pPr>
      <w:spacing w:before="40" w:after="0" w:line="240" w:lineRule="auto"/>
    </w:pPr>
    <w:rPr>
      <w:b/>
      <w:bCs/>
      <w:color w:val="FFFFFF" w:themeColor="background1"/>
      <w:sz w:val="20"/>
      <w:szCs w:val="20"/>
    </w:rPr>
  </w:style>
  <w:style w:type="paragraph" w:customStyle="1" w:styleId="AFGPuce1Noir">
    <w:name w:val="AFG_Puce 1_Noir"/>
    <w:basedOn w:val="AFGTextecourant"/>
    <w:uiPriority w:val="7"/>
    <w:qFormat/>
    <w:rsid w:val="005106FE"/>
    <w:pPr>
      <w:numPr>
        <w:numId w:val="11"/>
      </w:numPr>
      <w:ind w:left="1248" w:hanging="227"/>
    </w:pPr>
    <w:rPr>
      <w:b/>
      <w:bCs/>
    </w:rPr>
  </w:style>
  <w:style w:type="paragraph" w:customStyle="1" w:styleId="AFGPuce2Noir">
    <w:name w:val="AFG_Puce 2_Noir"/>
    <w:basedOn w:val="AFGTextecourant"/>
    <w:uiPriority w:val="7"/>
    <w:qFormat/>
    <w:rsid w:val="005106FE"/>
    <w:pPr>
      <w:numPr>
        <w:numId w:val="12"/>
      </w:numPr>
      <w:ind w:left="1531" w:hanging="284"/>
    </w:pPr>
    <w:rPr>
      <w:rFonts w:ascii="Montserrat Medium" w:hAnsi="Montserrat Medium"/>
    </w:rPr>
  </w:style>
  <w:style w:type="paragraph" w:customStyle="1" w:styleId="AFGPuce3Noir">
    <w:name w:val="AFG_Puce 3_Noir"/>
    <w:basedOn w:val="AFGTextecourant"/>
    <w:uiPriority w:val="7"/>
    <w:qFormat/>
    <w:rsid w:val="005106FE"/>
    <w:pPr>
      <w:numPr>
        <w:numId w:val="13"/>
      </w:numPr>
    </w:pPr>
  </w:style>
  <w:style w:type="character" w:styleId="Marquedecommentaire">
    <w:name w:val="annotation reference"/>
    <w:basedOn w:val="Policepardfaut"/>
    <w:uiPriority w:val="99"/>
    <w:semiHidden/>
    <w:unhideWhenUsed/>
    <w:rsid w:val="006E1A96"/>
    <w:rPr>
      <w:sz w:val="16"/>
      <w:szCs w:val="16"/>
    </w:rPr>
  </w:style>
  <w:style w:type="paragraph" w:styleId="Commentaire">
    <w:name w:val="annotation text"/>
    <w:basedOn w:val="Normal"/>
    <w:link w:val="CommentaireCar"/>
    <w:uiPriority w:val="99"/>
    <w:unhideWhenUsed/>
    <w:rsid w:val="006E1A96"/>
    <w:pPr>
      <w:spacing w:line="240" w:lineRule="auto"/>
    </w:pPr>
    <w:rPr>
      <w:sz w:val="20"/>
      <w:szCs w:val="20"/>
    </w:rPr>
  </w:style>
  <w:style w:type="character" w:customStyle="1" w:styleId="CommentaireCar">
    <w:name w:val="Commentaire Car"/>
    <w:basedOn w:val="Policepardfaut"/>
    <w:link w:val="Commentaire"/>
    <w:uiPriority w:val="99"/>
    <w:rsid w:val="006E1A96"/>
    <w:rPr>
      <w:sz w:val="20"/>
      <w:szCs w:val="20"/>
    </w:rPr>
  </w:style>
  <w:style w:type="paragraph" w:styleId="Objetducommentaire">
    <w:name w:val="annotation subject"/>
    <w:basedOn w:val="Commentaire"/>
    <w:next w:val="Commentaire"/>
    <w:link w:val="ObjetducommentaireCar"/>
    <w:uiPriority w:val="99"/>
    <w:semiHidden/>
    <w:unhideWhenUsed/>
    <w:rsid w:val="006E1A96"/>
    <w:rPr>
      <w:b/>
      <w:bCs/>
    </w:rPr>
  </w:style>
  <w:style w:type="character" w:customStyle="1" w:styleId="ObjetducommentaireCar">
    <w:name w:val="Objet du commentaire Car"/>
    <w:basedOn w:val="CommentaireCar"/>
    <w:link w:val="Objetducommentaire"/>
    <w:uiPriority w:val="99"/>
    <w:semiHidden/>
    <w:rsid w:val="006E1A96"/>
    <w:rPr>
      <w:b/>
      <w:bCs/>
      <w:sz w:val="20"/>
      <w:szCs w:val="20"/>
    </w:rPr>
  </w:style>
  <w:style w:type="paragraph" w:styleId="Paragraphedeliste">
    <w:name w:val="List Paragraph"/>
    <w:basedOn w:val="Normal"/>
    <w:uiPriority w:val="34"/>
    <w:qFormat/>
    <w:rsid w:val="006705FF"/>
    <w:pPr>
      <w:ind w:left="720"/>
      <w:contextualSpacing/>
    </w:pPr>
  </w:style>
  <w:style w:type="paragraph" w:styleId="Rvision">
    <w:name w:val="Revision"/>
    <w:hidden/>
    <w:uiPriority w:val="99"/>
    <w:semiHidden/>
    <w:rsid w:val="005C5E8E"/>
    <w:pPr>
      <w:spacing w:after="0" w:line="240" w:lineRule="auto"/>
    </w:pPr>
  </w:style>
  <w:style w:type="paragraph" w:customStyle="1" w:styleId="pf0">
    <w:name w:val="pf0"/>
    <w:basedOn w:val="Normal"/>
    <w:rsid w:val="008347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8347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7959">
      <w:bodyDiv w:val="1"/>
      <w:marLeft w:val="0"/>
      <w:marRight w:val="0"/>
      <w:marTop w:val="0"/>
      <w:marBottom w:val="0"/>
      <w:divBdr>
        <w:top w:val="none" w:sz="0" w:space="0" w:color="auto"/>
        <w:left w:val="none" w:sz="0" w:space="0" w:color="auto"/>
        <w:bottom w:val="none" w:sz="0" w:space="0" w:color="auto"/>
        <w:right w:val="none" w:sz="0" w:space="0" w:color="auto"/>
      </w:divBdr>
    </w:div>
    <w:div w:id="727611451">
      <w:bodyDiv w:val="1"/>
      <w:marLeft w:val="0"/>
      <w:marRight w:val="0"/>
      <w:marTop w:val="0"/>
      <w:marBottom w:val="0"/>
      <w:divBdr>
        <w:top w:val="none" w:sz="0" w:space="0" w:color="auto"/>
        <w:left w:val="none" w:sz="0" w:space="0" w:color="auto"/>
        <w:bottom w:val="none" w:sz="0" w:space="0" w:color="auto"/>
        <w:right w:val="none" w:sz="0" w:space="0" w:color="auto"/>
      </w:divBdr>
    </w:div>
    <w:div w:id="1282230460">
      <w:bodyDiv w:val="1"/>
      <w:marLeft w:val="0"/>
      <w:marRight w:val="0"/>
      <w:marTop w:val="0"/>
      <w:marBottom w:val="0"/>
      <w:divBdr>
        <w:top w:val="none" w:sz="0" w:space="0" w:color="auto"/>
        <w:left w:val="none" w:sz="0" w:space="0" w:color="auto"/>
        <w:bottom w:val="none" w:sz="0" w:space="0" w:color="auto"/>
        <w:right w:val="none" w:sz="0" w:space="0" w:color="auto"/>
      </w:divBdr>
      <w:divsChild>
        <w:div w:id="1987584121">
          <w:marLeft w:val="734"/>
          <w:marRight w:val="0"/>
          <w:marTop w:val="240"/>
          <w:marBottom w:val="0"/>
          <w:divBdr>
            <w:top w:val="none" w:sz="0" w:space="0" w:color="auto"/>
            <w:left w:val="none" w:sz="0" w:space="0" w:color="auto"/>
            <w:bottom w:val="none" w:sz="0" w:space="0" w:color="auto"/>
            <w:right w:val="none" w:sz="0" w:space="0" w:color="auto"/>
          </w:divBdr>
        </w:div>
      </w:divsChild>
    </w:div>
    <w:div w:id="1757089993">
      <w:bodyDiv w:val="1"/>
      <w:marLeft w:val="0"/>
      <w:marRight w:val="0"/>
      <w:marTop w:val="0"/>
      <w:marBottom w:val="0"/>
      <w:divBdr>
        <w:top w:val="none" w:sz="0" w:space="0" w:color="auto"/>
        <w:left w:val="none" w:sz="0" w:space="0" w:color="auto"/>
        <w:bottom w:val="none" w:sz="0" w:space="0" w:color="auto"/>
        <w:right w:val="none" w:sz="0" w:space="0" w:color="auto"/>
      </w:divBdr>
      <w:divsChild>
        <w:div w:id="2130004967">
          <w:marLeft w:val="734"/>
          <w:marRight w:val="0"/>
          <w:marTop w:val="240"/>
          <w:marBottom w:val="0"/>
          <w:divBdr>
            <w:top w:val="none" w:sz="0" w:space="0" w:color="auto"/>
            <w:left w:val="none" w:sz="0" w:space="0" w:color="auto"/>
            <w:bottom w:val="none" w:sz="0" w:space="0" w:color="auto"/>
            <w:right w:val="none" w:sz="0" w:space="0" w:color="auto"/>
          </w:divBdr>
        </w:div>
      </w:divsChild>
    </w:div>
    <w:div w:id="18959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svg"/><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AFG Word">
      <a:dk1>
        <a:sysClr val="windowText" lastClr="000000"/>
      </a:dk1>
      <a:lt1>
        <a:sysClr val="window" lastClr="FFFFFF"/>
      </a:lt1>
      <a:dk2>
        <a:srgbClr val="164194"/>
      </a:dk2>
      <a:lt2>
        <a:srgbClr val="1DBADF"/>
      </a:lt2>
      <a:accent1>
        <a:srgbClr val="449DD7"/>
      </a:accent1>
      <a:accent2>
        <a:srgbClr val="C6161E"/>
      </a:accent2>
      <a:accent3>
        <a:srgbClr val="F9B000"/>
      </a:accent3>
      <a:accent4>
        <a:srgbClr val="18BBB5"/>
      </a:accent4>
      <a:accent5>
        <a:srgbClr val="3B2777"/>
      </a:accent5>
      <a:accent6>
        <a:srgbClr val="A2B3D4"/>
      </a:accent6>
      <a:hlink>
        <a:srgbClr val="0563C1"/>
      </a:hlink>
      <a:folHlink>
        <a:srgbClr val="954F72"/>
      </a:folHlink>
    </a:clrScheme>
    <a:fontScheme name="BioRhyme + Montserrat">
      <a:majorFont>
        <a:latin typeface="BioRhyme"/>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6A94-7278-4BDE-A027-F9BC3847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2298</Words>
  <Characters>12645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ROY Mathilde</dc:creator>
  <cp:keywords/>
  <dc:description/>
  <cp:lastModifiedBy>MONTOYA Nicole</cp:lastModifiedBy>
  <cp:revision>2</cp:revision>
  <dcterms:created xsi:type="dcterms:W3CDTF">2024-10-09T17:08:00Z</dcterms:created>
  <dcterms:modified xsi:type="dcterms:W3CDTF">2024-10-09T17:08:00Z</dcterms:modified>
</cp:coreProperties>
</file>